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768A" w14:textId="174DBC8A" w:rsidR="00341A8D" w:rsidRPr="00221AD3" w:rsidRDefault="00341A8D" w:rsidP="00501559">
      <w:pPr>
        <w:rPr>
          <w:rFonts w:ascii="Arial" w:hAnsi="Arial" w:cs="Arial"/>
          <w:b/>
          <w:bCs/>
          <w:color w:val="000000" w:themeColor="text1"/>
        </w:rPr>
      </w:pPr>
      <w:r w:rsidRPr="00221AD3">
        <w:rPr>
          <w:rFonts w:ascii="Arial" w:hAnsi="Arial" w:cs="Arial"/>
          <w:b/>
          <w:bCs/>
          <w:color w:val="000000" w:themeColor="text1"/>
        </w:rPr>
        <w:t>E</w:t>
      </w:r>
      <w:r w:rsidRPr="00221AD3">
        <w:rPr>
          <w:rFonts w:ascii="Arial" w:hAnsi="Arial" w:cs="Arial"/>
          <w:b/>
          <w:bCs/>
          <w:color w:val="000000" w:themeColor="text1"/>
        </w:rPr>
        <w:t xml:space="preserve">arthquakes in </w:t>
      </w:r>
      <w:proofErr w:type="spellStart"/>
      <w:r w:rsidRPr="00221AD3">
        <w:rPr>
          <w:rFonts w:ascii="Arial" w:hAnsi="Arial" w:cs="Arial"/>
          <w:b/>
          <w:bCs/>
          <w:color w:val="000000" w:themeColor="text1"/>
        </w:rPr>
        <w:t>Türkiye</w:t>
      </w:r>
      <w:proofErr w:type="spellEnd"/>
      <w:r w:rsidRPr="00221AD3">
        <w:rPr>
          <w:rFonts w:ascii="Arial" w:hAnsi="Arial" w:cs="Arial"/>
          <w:b/>
          <w:bCs/>
          <w:color w:val="000000" w:themeColor="text1"/>
        </w:rPr>
        <w:t>—Understanding Anatolian Plate Tectonics</w:t>
      </w:r>
    </w:p>
    <w:p w14:paraId="1C46C9A2" w14:textId="17157C83" w:rsidR="00341A8D" w:rsidRPr="00221AD3" w:rsidRDefault="00341A8D" w:rsidP="00501559">
      <w:pPr>
        <w:rPr>
          <w:rFonts w:ascii="Times New Roman" w:eastAsia="Times New Roman" w:hAnsi="Times New Roman" w:cs="Times New Roman"/>
          <w:kern w:val="0"/>
          <w14:ligatures w14:val="none"/>
        </w:rPr>
      </w:pPr>
      <w:r>
        <w:rPr>
          <w:rFonts w:ascii="Arial" w:hAnsi="Arial" w:cs="Arial"/>
          <w:color w:val="000000" w:themeColor="text1"/>
          <w:sz w:val="21"/>
          <w:szCs w:val="21"/>
        </w:rPr>
        <w:t>Animation can be watched on YouTube (</w:t>
      </w:r>
      <w:hyperlink r:id="rId5" w:tgtFrame="_blank" w:history="1">
        <w:r w:rsidRPr="00341A8D">
          <w:rPr>
            <w:rFonts w:ascii="Times New Roman" w:eastAsia="Times New Roman" w:hAnsi="Times New Roman" w:cs="Times New Roman"/>
            <w:color w:val="0000FF"/>
            <w:kern w:val="0"/>
            <w:u w:val="single"/>
            <w14:ligatures w14:val="none"/>
          </w:rPr>
          <w:t xml:space="preserve">https://youtu.be/NDCrt1EaOPg </w:t>
        </w:r>
      </w:hyperlink>
      <w:r>
        <w:rPr>
          <w:rFonts w:ascii="Arial" w:hAnsi="Arial" w:cs="Arial"/>
          <w:color w:val="000000" w:themeColor="text1"/>
          <w:sz w:val="21"/>
          <w:szCs w:val="21"/>
        </w:rPr>
        <w:t xml:space="preserve">) or downloaded from </w:t>
      </w:r>
      <w:proofErr w:type="spellStart"/>
      <w:r>
        <w:rPr>
          <w:rFonts w:ascii="Arial" w:hAnsi="Arial" w:cs="Arial"/>
          <w:color w:val="000000" w:themeColor="text1"/>
          <w:sz w:val="21"/>
          <w:szCs w:val="21"/>
        </w:rPr>
        <w:t>InClass</w:t>
      </w:r>
      <w:proofErr w:type="spellEnd"/>
      <w:r w:rsidR="00221AD3">
        <w:rPr>
          <w:rFonts w:ascii="Arial" w:hAnsi="Arial" w:cs="Arial"/>
          <w:color w:val="000000" w:themeColor="text1"/>
          <w:sz w:val="21"/>
          <w:szCs w:val="21"/>
        </w:rPr>
        <w:t xml:space="preserve"> (</w:t>
      </w:r>
      <w:r w:rsidR="00221AD3" w:rsidRPr="00221AD3">
        <w:rPr>
          <w:rFonts w:ascii="Arial" w:hAnsi="Arial" w:cs="Arial"/>
          <w:color w:val="000000" w:themeColor="text1"/>
          <w:sz w:val="21"/>
          <w:szCs w:val="21"/>
        </w:rPr>
        <w:t>www.iris.edu/hq/inclass/animation/858</w:t>
      </w:r>
      <w:r w:rsidR="00221AD3">
        <w:rPr>
          <w:rFonts w:ascii="Arial" w:hAnsi="Arial" w:cs="Arial"/>
          <w:color w:val="000000" w:themeColor="text1"/>
          <w:sz w:val="21"/>
          <w:szCs w:val="21"/>
        </w:rPr>
        <w:t>)</w:t>
      </w:r>
    </w:p>
    <w:p w14:paraId="552DA0F7" w14:textId="77777777" w:rsidR="00341A8D" w:rsidRPr="00341A8D" w:rsidRDefault="00341A8D" w:rsidP="00501559">
      <w:pPr>
        <w:rPr>
          <w:rFonts w:ascii="Arial" w:hAnsi="Arial" w:cs="Arial"/>
          <w:color w:val="000000" w:themeColor="text1"/>
          <w:sz w:val="21"/>
          <w:szCs w:val="21"/>
        </w:rPr>
      </w:pPr>
    </w:p>
    <w:p w14:paraId="0D319A0F" w14:textId="77777777" w:rsidR="00341A8D" w:rsidRDefault="00341A8D" w:rsidP="00501559">
      <w:pPr>
        <w:rPr>
          <w:rFonts w:ascii="Arial" w:hAnsi="Arial" w:cs="Arial"/>
          <w:color w:val="000000"/>
          <w:sz w:val="21"/>
          <w:szCs w:val="21"/>
        </w:rPr>
      </w:pPr>
    </w:p>
    <w:p w14:paraId="1965D196" w14:textId="5F564F6B" w:rsidR="00501559" w:rsidRPr="00E23EF6" w:rsidRDefault="00501559" w:rsidP="00501559">
      <w:pPr>
        <w:rPr>
          <w:rFonts w:ascii="Arial" w:hAnsi="Arial" w:cs="Arial"/>
          <w:color w:val="000000"/>
          <w:sz w:val="21"/>
          <w:szCs w:val="21"/>
        </w:rPr>
      </w:pPr>
      <w:r w:rsidRPr="00C67A02">
        <w:rPr>
          <w:rFonts w:ascii="Arial" w:hAnsi="Arial" w:cs="Arial"/>
          <w:color w:val="000000"/>
          <w:sz w:val="21"/>
          <w:szCs w:val="21"/>
        </w:rPr>
        <w:t xml:space="preserve">Many devastating earthquakes have occurred </w:t>
      </w:r>
      <w:r w:rsidRPr="00C67A02">
        <w:rPr>
          <w:rFonts w:ascii="Arial" w:hAnsi="Arial" w:cs="Arial"/>
          <w:sz w:val="21"/>
          <w:szCs w:val="21"/>
        </w:rPr>
        <w:t xml:space="preserve">in </w:t>
      </w:r>
      <w:proofErr w:type="spellStart"/>
      <w:r w:rsidRPr="00C67A02">
        <w:rPr>
          <w:rFonts w:ascii="Arial" w:hAnsi="Arial" w:cs="Arial"/>
          <w:color w:val="000000"/>
          <w:sz w:val="21"/>
          <w:szCs w:val="21"/>
        </w:rPr>
        <w:t>Türkiye</w:t>
      </w:r>
      <w:proofErr w:type="spellEnd"/>
      <w:r>
        <w:rPr>
          <w:rFonts w:ascii="Arial" w:hAnsi="Arial" w:cs="Arial"/>
          <w:sz w:val="21"/>
          <w:szCs w:val="21"/>
        </w:rPr>
        <w:t xml:space="preserve">. This </w:t>
      </w:r>
      <w:r>
        <w:rPr>
          <w:rFonts w:ascii="Arial" w:hAnsi="Arial" w:cs="Arial"/>
          <w:color w:val="000000"/>
          <w:sz w:val="21"/>
          <w:szCs w:val="21"/>
        </w:rPr>
        <w:t>region</w:t>
      </w:r>
      <w:r w:rsidRPr="00C67A02">
        <w:rPr>
          <w:rFonts w:ascii="Arial" w:hAnsi="Arial" w:cs="Arial"/>
          <w:color w:val="000000"/>
          <w:sz w:val="21"/>
          <w:szCs w:val="21"/>
        </w:rPr>
        <w:t xml:space="preserve"> is broken into microplates</w:t>
      </w:r>
      <w:r>
        <w:rPr>
          <w:rFonts w:ascii="Arial" w:hAnsi="Arial" w:cs="Arial"/>
          <w:color w:val="000000"/>
          <w:sz w:val="21"/>
          <w:szCs w:val="21"/>
        </w:rPr>
        <w:t xml:space="preserve">, </w:t>
      </w:r>
      <w:r w:rsidRPr="00C67A02">
        <w:rPr>
          <w:rFonts w:ascii="Arial" w:hAnsi="Arial" w:cs="Arial"/>
          <w:color w:val="000000"/>
          <w:sz w:val="21"/>
          <w:szCs w:val="21"/>
        </w:rPr>
        <w:t>including the Anatolian Plate</w:t>
      </w:r>
      <w:r>
        <w:rPr>
          <w:rFonts w:ascii="Arial" w:hAnsi="Arial" w:cs="Arial"/>
          <w:color w:val="000000"/>
          <w:sz w:val="21"/>
          <w:szCs w:val="21"/>
        </w:rPr>
        <w:t xml:space="preserve"> </w:t>
      </w:r>
      <w:r w:rsidRPr="00C67A02">
        <w:rPr>
          <w:rFonts w:ascii="Arial" w:hAnsi="Arial" w:cs="Arial"/>
          <w:color w:val="000000"/>
          <w:sz w:val="21"/>
          <w:szCs w:val="21"/>
        </w:rPr>
        <w:t xml:space="preserve">that </w:t>
      </w:r>
      <w:r>
        <w:rPr>
          <w:rFonts w:ascii="Arial" w:hAnsi="Arial" w:cs="Arial"/>
          <w:color w:val="000000"/>
          <w:sz w:val="21"/>
          <w:szCs w:val="21"/>
        </w:rPr>
        <w:t xml:space="preserve">contains most of the country of </w:t>
      </w:r>
      <w:proofErr w:type="spellStart"/>
      <w:r w:rsidRPr="00C67A02">
        <w:rPr>
          <w:rFonts w:ascii="Arial" w:hAnsi="Arial" w:cs="Arial"/>
          <w:color w:val="000000"/>
          <w:sz w:val="21"/>
          <w:szCs w:val="21"/>
        </w:rPr>
        <w:t>Türkiye</w:t>
      </w:r>
      <w:proofErr w:type="spellEnd"/>
      <w:r w:rsidRPr="00C67A02">
        <w:rPr>
          <w:rFonts w:ascii="Arial" w:hAnsi="Arial" w:cs="Arial"/>
          <w:color w:val="000000"/>
          <w:sz w:val="21"/>
          <w:szCs w:val="21"/>
        </w:rPr>
        <w:t>.</w:t>
      </w:r>
      <w:r>
        <w:rPr>
          <w:rFonts w:ascii="Arial" w:hAnsi="Arial" w:cs="Arial"/>
          <w:color w:val="000000"/>
          <w:sz w:val="21"/>
          <w:szCs w:val="21"/>
        </w:rPr>
        <w:t xml:space="preserve"> As </w:t>
      </w:r>
      <w:r w:rsidRPr="00C67A02">
        <w:rPr>
          <w:rFonts w:ascii="Arial" w:hAnsi="Arial" w:cs="Arial"/>
          <w:sz w:val="21"/>
          <w:szCs w:val="21"/>
        </w:rPr>
        <w:t>Arabia rotat</w:t>
      </w:r>
      <w:r>
        <w:rPr>
          <w:rFonts w:ascii="Arial" w:hAnsi="Arial" w:cs="Arial"/>
          <w:sz w:val="21"/>
          <w:szCs w:val="21"/>
        </w:rPr>
        <w:t xml:space="preserve">es counterclockwise </w:t>
      </w:r>
      <w:r w:rsidRPr="00C67A02">
        <w:rPr>
          <w:rFonts w:ascii="Arial" w:hAnsi="Arial" w:cs="Arial"/>
          <w:sz w:val="21"/>
          <w:szCs w:val="21"/>
        </w:rPr>
        <w:t>into southern Eurasia</w:t>
      </w:r>
      <w:r>
        <w:rPr>
          <w:rFonts w:ascii="Arial" w:hAnsi="Arial" w:cs="Arial"/>
          <w:sz w:val="21"/>
          <w:szCs w:val="21"/>
        </w:rPr>
        <w:t xml:space="preserve">, </w:t>
      </w:r>
      <w:r w:rsidRPr="00C67A02">
        <w:rPr>
          <w:rFonts w:ascii="Arial" w:hAnsi="Arial" w:cs="Arial"/>
          <w:sz w:val="21"/>
          <w:szCs w:val="21"/>
        </w:rPr>
        <w:t xml:space="preserve">a continental collision zone </w:t>
      </w:r>
      <w:r>
        <w:rPr>
          <w:rFonts w:ascii="Arial" w:hAnsi="Arial" w:cs="Arial"/>
          <w:sz w:val="21"/>
          <w:szCs w:val="21"/>
        </w:rPr>
        <w:t xml:space="preserve">builds </w:t>
      </w:r>
      <w:r w:rsidRPr="00C67A02">
        <w:rPr>
          <w:rFonts w:ascii="Arial" w:hAnsi="Arial" w:cs="Arial"/>
          <w:sz w:val="21"/>
          <w:szCs w:val="21"/>
        </w:rPr>
        <w:t>between the Persian Gulf and Caspian Sea.</w:t>
      </w:r>
      <w:r>
        <w:rPr>
          <w:rFonts w:ascii="Arial" w:hAnsi="Arial" w:cs="Arial"/>
          <w:sz w:val="21"/>
          <w:szCs w:val="21"/>
        </w:rPr>
        <w:t xml:space="preserve"> </w:t>
      </w:r>
      <w:r w:rsidRPr="00C67A02">
        <w:rPr>
          <w:rFonts w:ascii="Arial" w:hAnsi="Arial" w:cs="Arial"/>
          <w:sz w:val="21"/>
          <w:szCs w:val="21"/>
        </w:rPr>
        <w:t xml:space="preserve">By strike-slip motion along its northern and eastern boundaries, </w:t>
      </w:r>
      <w:r>
        <w:rPr>
          <w:rFonts w:ascii="Arial" w:hAnsi="Arial" w:cs="Arial"/>
          <w:sz w:val="21"/>
          <w:szCs w:val="21"/>
        </w:rPr>
        <w:t xml:space="preserve">the </w:t>
      </w:r>
      <w:r w:rsidRPr="00C67A02">
        <w:rPr>
          <w:rFonts w:ascii="Arial" w:hAnsi="Arial" w:cs="Arial"/>
          <w:sz w:val="21"/>
          <w:szCs w:val="21"/>
        </w:rPr>
        <w:t>Anatolia</w:t>
      </w:r>
      <w:r>
        <w:rPr>
          <w:rFonts w:ascii="Arial" w:hAnsi="Arial" w:cs="Arial"/>
          <w:sz w:val="21"/>
          <w:szCs w:val="21"/>
        </w:rPr>
        <w:t>n Plate</w:t>
      </w:r>
      <w:r w:rsidRPr="00C67A02">
        <w:rPr>
          <w:rFonts w:ascii="Arial" w:hAnsi="Arial" w:cs="Arial"/>
          <w:sz w:val="21"/>
          <w:szCs w:val="21"/>
        </w:rPr>
        <w:t xml:space="preserve"> moves west to escape this collision zone.</w:t>
      </w:r>
      <w:r>
        <w:rPr>
          <w:rFonts w:ascii="Arial" w:hAnsi="Arial" w:cs="Arial"/>
          <w:sz w:val="21"/>
          <w:szCs w:val="21"/>
        </w:rPr>
        <w:t xml:space="preserve"> </w:t>
      </w:r>
    </w:p>
    <w:p w14:paraId="59C513D4" w14:textId="77777777" w:rsidR="006A52E5" w:rsidRPr="00977F80" w:rsidRDefault="006A52E5" w:rsidP="006A52E5">
      <w:pPr>
        <w:spacing w:line="120" w:lineRule="exact"/>
        <w:rPr>
          <w:rFonts w:ascii="Arial" w:hAnsi="Arial" w:cs="Arial"/>
          <w:sz w:val="21"/>
          <w:szCs w:val="21"/>
        </w:rPr>
      </w:pPr>
    </w:p>
    <w:p w14:paraId="0205109E" w14:textId="7FAF9EAD" w:rsidR="007C57A9" w:rsidRDefault="00B17A27" w:rsidP="00D05832">
      <w:pPr>
        <w:rPr>
          <w:rFonts w:ascii="Arial" w:hAnsi="Arial" w:cs="Arial"/>
          <w:sz w:val="21"/>
          <w:szCs w:val="21"/>
        </w:rPr>
      </w:pPr>
      <w:r>
        <w:rPr>
          <w:rFonts w:ascii="Arial" w:hAnsi="Arial" w:cs="Arial"/>
          <w:sz w:val="21"/>
          <w:szCs w:val="21"/>
        </w:rPr>
        <w:t>P</w:t>
      </w:r>
      <w:r w:rsidR="00D05832">
        <w:rPr>
          <w:rFonts w:ascii="Arial" w:hAnsi="Arial" w:cs="Arial"/>
          <w:sz w:val="21"/>
          <w:szCs w:val="21"/>
        </w:rPr>
        <w:t xml:space="preserve">otentially damaging shallow magnitude 5 and larger earthquakes </w:t>
      </w:r>
      <w:r w:rsidR="00D2618C">
        <w:rPr>
          <w:rFonts w:ascii="Arial" w:hAnsi="Arial" w:cs="Arial"/>
          <w:sz w:val="21"/>
          <w:szCs w:val="21"/>
        </w:rPr>
        <w:t>are concentrated near plate boundar</w:t>
      </w:r>
      <w:r w:rsidR="002C2CB6">
        <w:rPr>
          <w:rFonts w:ascii="Arial" w:hAnsi="Arial" w:cs="Arial"/>
          <w:sz w:val="21"/>
          <w:szCs w:val="21"/>
        </w:rPr>
        <w:t>i</w:t>
      </w:r>
      <w:r w:rsidR="00D2618C">
        <w:rPr>
          <w:rFonts w:ascii="Arial" w:hAnsi="Arial" w:cs="Arial"/>
          <w:sz w:val="21"/>
          <w:szCs w:val="21"/>
        </w:rPr>
        <w:t xml:space="preserve">es. </w:t>
      </w:r>
      <w:r w:rsidR="002C2CB6">
        <w:rPr>
          <w:rFonts w:ascii="Arial" w:hAnsi="Arial" w:cs="Arial"/>
          <w:sz w:val="21"/>
          <w:szCs w:val="21"/>
        </w:rPr>
        <w:t>T</w:t>
      </w:r>
      <w:r w:rsidR="00D2618C">
        <w:rPr>
          <w:rFonts w:ascii="Arial" w:hAnsi="Arial" w:cs="Arial"/>
          <w:sz w:val="21"/>
          <w:szCs w:val="21"/>
        </w:rPr>
        <w:t xml:space="preserve">he </w:t>
      </w:r>
      <w:r w:rsidR="00D05832">
        <w:rPr>
          <w:rFonts w:ascii="Arial" w:hAnsi="Arial" w:cs="Arial"/>
          <w:sz w:val="21"/>
          <w:szCs w:val="21"/>
        </w:rPr>
        <w:t>North and East Anatolian Fault zones and West Anatolia Extension Zone</w:t>
      </w:r>
      <w:r w:rsidR="00D2618C">
        <w:rPr>
          <w:rFonts w:ascii="Arial" w:hAnsi="Arial" w:cs="Arial"/>
          <w:sz w:val="21"/>
          <w:szCs w:val="21"/>
        </w:rPr>
        <w:t xml:space="preserve"> </w:t>
      </w:r>
      <w:r w:rsidR="002C2CB6">
        <w:rPr>
          <w:rFonts w:ascii="Arial" w:hAnsi="Arial" w:cs="Arial"/>
          <w:sz w:val="21"/>
          <w:szCs w:val="21"/>
        </w:rPr>
        <w:t xml:space="preserve">are areas of high earthquake hazard in </w:t>
      </w:r>
      <w:proofErr w:type="spellStart"/>
      <w:r w:rsidR="002C2CB6" w:rsidRPr="00C67A02">
        <w:rPr>
          <w:rFonts w:ascii="Arial" w:hAnsi="Arial" w:cs="Arial"/>
          <w:color w:val="000000"/>
          <w:sz w:val="21"/>
          <w:szCs w:val="21"/>
        </w:rPr>
        <w:t>Türkiye</w:t>
      </w:r>
      <w:proofErr w:type="spellEnd"/>
      <w:r w:rsidR="002C2CB6">
        <w:rPr>
          <w:rFonts w:ascii="Arial" w:hAnsi="Arial" w:cs="Arial"/>
          <w:sz w:val="21"/>
          <w:szCs w:val="21"/>
        </w:rPr>
        <w:t xml:space="preserve">. </w:t>
      </w:r>
    </w:p>
    <w:p w14:paraId="7B02D826" w14:textId="77777777" w:rsidR="006A52E5" w:rsidRPr="00977F80" w:rsidRDefault="006A52E5" w:rsidP="006A52E5">
      <w:pPr>
        <w:spacing w:line="120" w:lineRule="exact"/>
        <w:rPr>
          <w:rFonts w:ascii="Arial" w:hAnsi="Arial" w:cs="Arial"/>
          <w:sz w:val="21"/>
          <w:szCs w:val="21"/>
        </w:rPr>
      </w:pPr>
    </w:p>
    <w:p w14:paraId="78BC35E5" w14:textId="3164874A" w:rsidR="004B05A1" w:rsidRDefault="004B05A1" w:rsidP="004B05A1">
      <w:pPr>
        <w:autoSpaceDE w:val="0"/>
        <w:autoSpaceDN w:val="0"/>
        <w:adjustRightInd w:val="0"/>
        <w:rPr>
          <w:rFonts w:ascii="Arial" w:hAnsi="Arial" w:cs="Arial"/>
          <w:kern w:val="0"/>
          <w:sz w:val="21"/>
          <w:szCs w:val="21"/>
        </w:rPr>
      </w:pPr>
      <w:r w:rsidRPr="0084088A">
        <w:rPr>
          <w:rFonts w:ascii="Arial" w:hAnsi="Arial" w:cs="Arial"/>
          <w:kern w:val="0"/>
          <w:sz w:val="21"/>
          <w:szCs w:val="21"/>
        </w:rPr>
        <w:t>The North Anatolia</w:t>
      </w:r>
      <w:r>
        <w:rPr>
          <w:rFonts w:ascii="Arial" w:hAnsi="Arial" w:cs="Arial"/>
          <w:kern w:val="0"/>
          <w:sz w:val="21"/>
          <w:szCs w:val="21"/>
        </w:rPr>
        <w:t>n</w:t>
      </w:r>
      <w:r w:rsidRPr="0084088A">
        <w:rPr>
          <w:rFonts w:ascii="Arial" w:hAnsi="Arial" w:cs="Arial"/>
          <w:kern w:val="0"/>
          <w:sz w:val="21"/>
          <w:szCs w:val="21"/>
        </w:rPr>
        <w:t xml:space="preserve"> Fault Zone extends 1500 km from the Aegean Sea to its intersection with the East Anatolia</w:t>
      </w:r>
      <w:r w:rsidR="00501559">
        <w:rPr>
          <w:rFonts w:ascii="Arial" w:hAnsi="Arial" w:cs="Arial"/>
          <w:kern w:val="0"/>
          <w:sz w:val="21"/>
          <w:szCs w:val="21"/>
        </w:rPr>
        <w:t>n</w:t>
      </w:r>
      <w:r w:rsidRPr="0084088A">
        <w:rPr>
          <w:rFonts w:ascii="Arial" w:hAnsi="Arial" w:cs="Arial"/>
          <w:kern w:val="0"/>
          <w:sz w:val="21"/>
          <w:szCs w:val="21"/>
        </w:rPr>
        <w:t xml:space="preserve"> Fault Zone. High-precision GPS data are available from over 800 stations in Turkey. If we nail down the Eurasian Plate and hold it fixed, we see how GPS velocities document the counterclockwise rotation </w:t>
      </w:r>
      <w:r>
        <w:rPr>
          <w:rFonts w:ascii="Arial" w:hAnsi="Arial" w:cs="Arial"/>
          <w:kern w:val="0"/>
          <w:sz w:val="21"/>
          <w:szCs w:val="21"/>
        </w:rPr>
        <w:t>of</w:t>
      </w:r>
      <w:r w:rsidRPr="0084088A">
        <w:rPr>
          <w:rFonts w:ascii="Arial" w:hAnsi="Arial" w:cs="Arial"/>
          <w:kern w:val="0"/>
          <w:sz w:val="21"/>
          <w:szCs w:val="21"/>
        </w:rPr>
        <w:t xml:space="preserve"> the Anatolian Plate. Now let’s zoom into a region straddling the </w:t>
      </w:r>
      <w:r w:rsidR="001315BF">
        <w:rPr>
          <w:rFonts w:ascii="Arial" w:hAnsi="Arial" w:cs="Arial"/>
          <w:kern w:val="0"/>
          <w:sz w:val="21"/>
          <w:szCs w:val="21"/>
        </w:rPr>
        <w:t>fault</w:t>
      </w:r>
      <w:r w:rsidRPr="0084088A">
        <w:rPr>
          <w:rFonts w:ascii="Arial" w:hAnsi="Arial" w:cs="Arial"/>
          <w:kern w:val="0"/>
          <w:sz w:val="21"/>
          <w:szCs w:val="21"/>
        </w:rPr>
        <w:t xml:space="preserve">. </w:t>
      </w:r>
      <w:r>
        <w:rPr>
          <w:rFonts w:ascii="Arial" w:hAnsi="Arial" w:cs="Arial"/>
          <w:kern w:val="0"/>
          <w:sz w:val="21"/>
          <w:szCs w:val="21"/>
        </w:rPr>
        <w:t xml:space="preserve">While the plates are locked by friction along the fault, the </w:t>
      </w:r>
      <w:r w:rsidR="001315BF">
        <w:rPr>
          <w:rFonts w:ascii="Arial" w:hAnsi="Arial" w:cs="Arial"/>
          <w:kern w:val="0"/>
          <w:sz w:val="21"/>
          <w:szCs w:val="21"/>
        </w:rPr>
        <w:t xml:space="preserve">plate </w:t>
      </w:r>
      <w:r>
        <w:rPr>
          <w:rFonts w:ascii="Arial" w:hAnsi="Arial" w:cs="Arial"/>
          <w:kern w:val="0"/>
          <w:sz w:val="21"/>
          <w:szCs w:val="21"/>
        </w:rPr>
        <w:t xml:space="preserve">interiors are moving in a right-lateral sense parallel to the fault. </w:t>
      </w:r>
      <w:r w:rsidR="001315BF">
        <w:rPr>
          <w:rFonts w:ascii="Arial" w:hAnsi="Arial" w:cs="Arial"/>
          <w:kern w:val="0"/>
          <w:sz w:val="21"/>
          <w:szCs w:val="21"/>
        </w:rPr>
        <w:t>T</w:t>
      </w:r>
      <w:r>
        <w:rPr>
          <w:rFonts w:ascii="Arial" w:hAnsi="Arial" w:cs="Arial"/>
          <w:kern w:val="0"/>
          <w:sz w:val="21"/>
          <w:szCs w:val="21"/>
        </w:rPr>
        <w:t xml:space="preserve">he plate edges </w:t>
      </w:r>
      <w:r w:rsidR="001315BF">
        <w:rPr>
          <w:rFonts w:ascii="Arial" w:hAnsi="Arial" w:cs="Arial"/>
          <w:kern w:val="0"/>
          <w:sz w:val="21"/>
          <w:szCs w:val="21"/>
        </w:rPr>
        <w:t xml:space="preserve">near the fault </w:t>
      </w:r>
      <w:r>
        <w:rPr>
          <w:rFonts w:ascii="Arial" w:hAnsi="Arial" w:cs="Arial"/>
          <w:kern w:val="0"/>
          <w:sz w:val="21"/>
          <w:szCs w:val="21"/>
        </w:rPr>
        <w:t xml:space="preserve">are bending and shear stress is building. </w:t>
      </w:r>
      <w:r w:rsidR="001315BF">
        <w:rPr>
          <w:rFonts w:ascii="Arial" w:hAnsi="Arial" w:cs="Arial"/>
          <w:kern w:val="0"/>
          <w:sz w:val="21"/>
          <w:szCs w:val="21"/>
        </w:rPr>
        <w:t>If we</w:t>
      </w:r>
      <w:r>
        <w:rPr>
          <w:rFonts w:ascii="Arial" w:hAnsi="Arial" w:cs="Arial"/>
          <w:kern w:val="0"/>
          <w:sz w:val="21"/>
          <w:szCs w:val="21"/>
        </w:rPr>
        <w:t xml:space="preserve"> collect GPS data from stations in a swath </w:t>
      </w:r>
      <w:r w:rsidR="0092467E">
        <w:rPr>
          <w:rFonts w:ascii="Arial" w:hAnsi="Arial" w:cs="Arial"/>
          <w:kern w:val="0"/>
          <w:sz w:val="21"/>
          <w:szCs w:val="21"/>
        </w:rPr>
        <w:t xml:space="preserve">near </w:t>
      </w:r>
      <w:r>
        <w:rPr>
          <w:rFonts w:ascii="Arial" w:hAnsi="Arial" w:cs="Arial"/>
          <w:kern w:val="0"/>
          <w:sz w:val="21"/>
          <w:szCs w:val="21"/>
        </w:rPr>
        <w:t>the fault</w:t>
      </w:r>
      <w:r w:rsidR="001315BF">
        <w:rPr>
          <w:rFonts w:ascii="Arial" w:hAnsi="Arial" w:cs="Arial"/>
          <w:kern w:val="0"/>
          <w:sz w:val="21"/>
          <w:szCs w:val="21"/>
        </w:rPr>
        <w:t>, we can</w:t>
      </w:r>
      <w:r>
        <w:rPr>
          <w:rFonts w:ascii="Arial" w:hAnsi="Arial" w:cs="Arial"/>
          <w:kern w:val="0"/>
          <w:sz w:val="21"/>
          <w:szCs w:val="21"/>
        </w:rPr>
        <w:t xml:space="preserve"> see how velocities change across the fault. There is a gradual change from zero in the Eurasian Plate that we’re holding fixed, through the zone of deformation, and into the Anatolian Plate that is moving 22 mm/year at this location. </w:t>
      </w:r>
      <w:r w:rsidR="00562507">
        <w:rPr>
          <w:rFonts w:ascii="Arial" w:hAnsi="Arial" w:cs="Arial"/>
          <w:kern w:val="0"/>
          <w:sz w:val="21"/>
          <w:szCs w:val="21"/>
        </w:rPr>
        <w:t>GPS-</w:t>
      </w:r>
      <w:r>
        <w:rPr>
          <w:rFonts w:ascii="Arial" w:hAnsi="Arial" w:cs="Arial"/>
          <w:kern w:val="0"/>
          <w:sz w:val="21"/>
          <w:szCs w:val="21"/>
        </w:rPr>
        <w:t>determine</w:t>
      </w:r>
      <w:r w:rsidR="00562507">
        <w:rPr>
          <w:rFonts w:ascii="Arial" w:hAnsi="Arial" w:cs="Arial"/>
          <w:kern w:val="0"/>
          <w:sz w:val="21"/>
          <w:szCs w:val="21"/>
        </w:rPr>
        <w:t>d</w:t>
      </w:r>
      <w:r>
        <w:rPr>
          <w:rFonts w:ascii="Arial" w:hAnsi="Arial" w:cs="Arial"/>
          <w:kern w:val="0"/>
          <w:sz w:val="21"/>
          <w:szCs w:val="21"/>
        </w:rPr>
        <w:t xml:space="preserve"> rates of motion across the </w:t>
      </w:r>
      <w:r w:rsidRPr="0084088A">
        <w:rPr>
          <w:rFonts w:ascii="Arial" w:hAnsi="Arial" w:cs="Arial"/>
          <w:kern w:val="0"/>
          <w:sz w:val="21"/>
          <w:szCs w:val="21"/>
        </w:rPr>
        <w:t>North Anatolia</w:t>
      </w:r>
      <w:r>
        <w:rPr>
          <w:rFonts w:ascii="Arial" w:hAnsi="Arial" w:cs="Arial"/>
          <w:kern w:val="0"/>
          <w:sz w:val="21"/>
          <w:szCs w:val="21"/>
        </w:rPr>
        <w:t>n</w:t>
      </w:r>
      <w:r w:rsidRPr="0084088A">
        <w:rPr>
          <w:rFonts w:ascii="Arial" w:hAnsi="Arial" w:cs="Arial"/>
          <w:kern w:val="0"/>
          <w:sz w:val="21"/>
          <w:szCs w:val="21"/>
        </w:rPr>
        <w:t xml:space="preserve"> Fault Zone</w:t>
      </w:r>
      <w:r>
        <w:rPr>
          <w:rFonts w:ascii="Arial" w:hAnsi="Arial" w:cs="Arial"/>
          <w:kern w:val="0"/>
          <w:sz w:val="21"/>
          <w:szCs w:val="21"/>
        </w:rPr>
        <w:t xml:space="preserve"> increase from 20</w:t>
      </w:r>
      <w:r w:rsidR="00562507">
        <w:rPr>
          <w:rFonts w:ascii="Arial" w:hAnsi="Arial" w:cs="Arial"/>
          <w:kern w:val="0"/>
          <w:sz w:val="21"/>
          <w:szCs w:val="21"/>
        </w:rPr>
        <w:t> </w:t>
      </w:r>
      <w:r>
        <w:rPr>
          <w:rFonts w:ascii="Arial" w:hAnsi="Arial" w:cs="Arial"/>
          <w:kern w:val="0"/>
          <w:sz w:val="21"/>
          <w:szCs w:val="21"/>
        </w:rPr>
        <w:t>mm/</w:t>
      </w:r>
      <w:proofErr w:type="spellStart"/>
      <w:r>
        <w:rPr>
          <w:rFonts w:ascii="Arial" w:hAnsi="Arial" w:cs="Arial"/>
          <w:kern w:val="0"/>
          <w:sz w:val="21"/>
          <w:szCs w:val="21"/>
        </w:rPr>
        <w:t>yr</w:t>
      </w:r>
      <w:proofErr w:type="spellEnd"/>
      <w:r>
        <w:rPr>
          <w:rFonts w:ascii="Arial" w:hAnsi="Arial" w:cs="Arial"/>
          <w:kern w:val="0"/>
          <w:sz w:val="21"/>
          <w:szCs w:val="21"/>
        </w:rPr>
        <w:t xml:space="preserve"> in the east to 26 mm/</w:t>
      </w:r>
      <w:proofErr w:type="spellStart"/>
      <w:r>
        <w:rPr>
          <w:rFonts w:ascii="Arial" w:hAnsi="Arial" w:cs="Arial"/>
          <w:kern w:val="0"/>
          <w:sz w:val="21"/>
          <w:szCs w:val="21"/>
        </w:rPr>
        <w:t>yr</w:t>
      </w:r>
      <w:proofErr w:type="spellEnd"/>
      <w:r>
        <w:rPr>
          <w:rFonts w:ascii="Arial" w:hAnsi="Arial" w:cs="Arial"/>
          <w:kern w:val="0"/>
          <w:sz w:val="21"/>
          <w:szCs w:val="21"/>
        </w:rPr>
        <w:t xml:space="preserve"> in the west where the northern strand takes up most of the motion. </w:t>
      </w:r>
    </w:p>
    <w:p w14:paraId="4A44A981" w14:textId="1712487F" w:rsidR="004B05A1" w:rsidRDefault="004B05A1" w:rsidP="004B05A1">
      <w:pPr>
        <w:autoSpaceDE w:val="0"/>
        <w:autoSpaceDN w:val="0"/>
        <w:adjustRightInd w:val="0"/>
        <w:rPr>
          <w:rFonts w:ascii="Arial" w:hAnsi="Arial" w:cs="Arial"/>
          <w:kern w:val="0"/>
          <w:sz w:val="21"/>
          <w:szCs w:val="21"/>
        </w:rPr>
      </w:pPr>
      <w:r w:rsidRPr="0084088A">
        <w:rPr>
          <w:rFonts w:ascii="Arial" w:hAnsi="Arial" w:cs="Arial"/>
          <w:kern w:val="0"/>
          <w:sz w:val="21"/>
          <w:szCs w:val="21"/>
        </w:rPr>
        <w:t>From 1939 through</w:t>
      </w:r>
      <w:r w:rsidR="00813198">
        <w:rPr>
          <w:rFonts w:ascii="Arial" w:hAnsi="Arial" w:cs="Arial"/>
          <w:kern w:val="0"/>
          <w:sz w:val="21"/>
          <w:szCs w:val="21"/>
        </w:rPr>
        <w:t xml:space="preserve"> </w:t>
      </w:r>
      <w:r w:rsidRPr="0084088A">
        <w:rPr>
          <w:rFonts w:ascii="Arial" w:hAnsi="Arial" w:cs="Arial"/>
          <w:kern w:val="0"/>
          <w:sz w:val="21"/>
          <w:szCs w:val="21"/>
        </w:rPr>
        <w:t xml:space="preserve">1999, 12 </w:t>
      </w:r>
      <w:r>
        <w:rPr>
          <w:rFonts w:ascii="Arial" w:hAnsi="Arial" w:cs="Arial"/>
          <w:kern w:val="0"/>
          <w:sz w:val="21"/>
          <w:szCs w:val="21"/>
        </w:rPr>
        <w:t xml:space="preserve">major </w:t>
      </w:r>
      <w:r w:rsidRPr="0084088A">
        <w:rPr>
          <w:rFonts w:ascii="Arial" w:hAnsi="Arial" w:cs="Arial"/>
          <w:kern w:val="0"/>
          <w:sz w:val="21"/>
          <w:szCs w:val="21"/>
        </w:rPr>
        <w:t>earthquakes occurred along the North Anatolia</w:t>
      </w:r>
      <w:r>
        <w:rPr>
          <w:rFonts w:ascii="Arial" w:hAnsi="Arial" w:cs="Arial"/>
          <w:kern w:val="0"/>
          <w:sz w:val="21"/>
          <w:szCs w:val="21"/>
        </w:rPr>
        <w:t>n</w:t>
      </w:r>
      <w:r w:rsidRPr="0084088A">
        <w:rPr>
          <w:rFonts w:ascii="Arial" w:hAnsi="Arial" w:cs="Arial"/>
          <w:kern w:val="0"/>
          <w:sz w:val="21"/>
          <w:szCs w:val="21"/>
        </w:rPr>
        <w:t xml:space="preserve"> Fault Zone.</w:t>
      </w:r>
      <w:r>
        <w:rPr>
          <w:rFonts w:ascii="Arial" w:hAnsi="Arial" w:cs="Arial"/>
          <w:kern w:val="0"/>
          <w:sz w:val="21"/>
          <w:szCs w:val="21"/>
        </w:rPr>
        <w:t xml:space="preserve"> </w:t>
      </w:r>
      <w:r w:rsidRPr="0084088A">
        <w:rPr>
          <w:rFonts w:ascii="Arial" w:hAnsi="Arial" w:cs="Arial"/>
          <w:kern w:val="0"/>
          <w:sz w:val="21"/>
          <w:szCs w:val="21"/>
        </w:rPr>
        <w:t xml:space="preserve">Eight of these occurred in a westward progression demonstrating how one major earthquake </w:t>
      </w:r>
      <w:r>
        <w:rPr>
          <w:rFonts w:ascii="Arial" w:hAnsi="Arial" w:cs="Arial"/>
          <w:kern w:val="0"/>
          <w:sz w:val="21"/>
          <w:szCs w:val="21"/>
        </w:rPr>
        <w:t xml:space="preserve">can </w:t>
      </w:r>
      <w:r w:rsidRPr="0084088A">
        <w:rPr>
          <w:rFonts w:ascii="Arial" w:hAnsi="Arial" w:cs="Arial"/>
          <w:kern w:val="0"/>
          <w:sz w:val="21"/>
          <w:szCs w:val="21"/>
        </w:rPr>
        <w:t>set up the next.</w:t>
      </w:r>
      <w:r>
        <w:rPr>
          <w:rFonts w:ascii="Arial" w:hAnsi="Arial" w:cs="Arial"/>
          <w:kern w:val="0"/>
          <w:sz w:val="21"/>
          <w:szCs w:val="21"/>
        </w:rPr>
        <w:t xml:space="preserve"> </w:t>
      </w:r>
      <w:r w:rsidR="00BF4D3A" w:rsidRPr="00BF4D3A">
        <w:rPr>
          <w:rFonts w:ascii="Arial" w:hAnsi="Arial" w:cs="Arial"/>
          <w:kern w:val="0"/>
          <w:sz w:val="21"/>
          <w:szCs w:val="21"/>
        </w:rPr>
        <w:t>Let’s look at a section of the North Anatolian Fault that has accumulated high shear stress</w:t>
      </w:r>
      <w:r w:rsidR="00BF4D3A">
        <w:rPr>
          <w:rFonts w:ascii="Arial" w:hAnsi="Arial" w:cs="Arial"/>
          <w:kern w:val="0"/>
          <w:sz w:val="21"/>
          <w:szCs w:val="21"/>
        </w:rPr>
        <w:t xml:space="preserve">. </w:t>
      </w:r>
      <w:r w:rsidR="00BF4D3A" w:rsidRPr="00BF4D3A">
        <w:rPr>
          <w:rFonts w:ascii="Arial" w:hAnsi="Arial" w:cs="Arial"/>
          <w:kern w:val="0"/>
          <w:sz w:val="21"/>
          <w:szCs w:val="21"/>
        </w:rPr>
        <w:t>When an earthquake ruptures a segment of this fault</w:t>
      </w:r>
      <w:r w:rsidR="00BF4D3A">
        <w:rPr>
          <w:rFonts w:ascii="Arial" w:hAnsi="Arial" w:cs="Arial"/>
          <w:kern w:val="0"/>
          <w:sz w:val="21"/>
          <w:szCs w:val="21"/>
        </w:rPr>
        <w:t xml:space="preserve">, </w:t>
      </w:r>
      <w:r w:rsidR="00BF4D3A" w:rsidRPr="00BF4D3A">
        <w:rPr>
          <w:rFonts w:ascii="Arial" w:hAnsi="Arial" w:cs="Arial"/>
          <w:kern w:val="0"/>
          <w:sz w:val="21"/>
          <w:szCs w:val="21"/>
        </w:rPr>
        <w:t>the opposite sides of the fault are displaced in a right-lateral sense</w:t>
      </w:r>
      <w:r w:rsidR="00BF4D3A">
        <w:rPr>
          <w:rFonts w:ascii="Arial" w:hAnsi="Arial" w:cs="Arial"/>
          <w:kern w:val="0"/>
          <w:sz w:val="21"/>
          <w:szCs w:val="21"/>
        </w:rPr>
        <w:t xml:space="preserve">. </w:t>
      </w:r>
      <w:r w:rsidR="00BF4D3A" w:rsidRPr="00BF4D3A">
        <w:rPr>
          <w:rFonts w:ascii="Arial" w:hAnsi="Arial" w:cs="Arial"/>
          <w:kern w:val="0"/>
          <w:sz w:val="21"/>
          <w:szCs w:val="21"/>
        </w:rPr>
        <w:t>Notice that along and adjacent to the rupture, shear stress is decreased by the earthquake while shear stress increased in the area just beyond the rupture zone.</w:t>
      </w:r>
      <w:r w:rsidR="00BF4D3A">
        <w:rPr>
          <w:rFonts w:ascii="Arial" w:hAnsi="Arial" w:cs="Arial"/>
          <w:kern w:val="0"/>
          <w:sz w:val="21"/>
          <w:szCs w:val="21"/>
        </w:rPr>
        <w:t xml:space="preserve"> </w:t>
      </w:r>
      <w:r w:rsidR="00BF4D3A" w:rsidRPr="00BF4D3A">
        <w:rPr>
          <w:rFonts w:ascii="Arial" w:hAnsi="Arial" w:cs="Arial"/>
          <w:kern w:val="0"/>
          <w:sz w:val="21"/>
          <w:szCs w:val="21"/>
        </w:rPr>
        <w:t>The change-in-stress resulting from the earthquake looks like this</w:t>
      </w:r>
      <w:r w:rsidR="00BF4D3A">
        <w:rPr>
          <w:rFonts w:ascii="Arial" w:hAnsi="Arial" w:cs="Arial"/>
          <w:kern w:val="0"/>
          <w:sz w:val="21"/>
          <w:szCs w:val="21"/>
        </w:rPr>
        <w:t xml:space="preserve">. </w:t>
      </w:r>
      <w:r>
        <w:rPr>
          <w:rFonts w:ascii="Arial" w:hAnsi="Arial" w:cs="Arial"/>
          <w:kern w:val="0"/>
          <w:sz w:val="21"/>
          <w:szCs w:val="21"/>
        </w:rPr>
        <w:t xml:space="preserve">In 1939, a magnitude 7.9 earthquake ruptured a 300 km length of the fault with displacements up to 7 meters. </w:t>
      </w:r>
      <w:r w:rsidR="00D555C6">
        <w:rPr>
          <w:rFonts w:ascii="Arial" w:hAnsi="Arial" w:cs="Arial"/>
          <w:kern w:val="0"/>
          <w:sz w:val="21"/>
          <w:szCs w:val="21"/>
        </w:rPr>
        <w:t>That earthquake</w:t>
      </w:r>
      <w:r>
        <w:rPr>
          <w:rFonts w:ascii="Arial" w:hAnsi="Arial" w:cs="Arial"/>
          <w:kern w:val="0"/>
          <w:sz w:val="21"/>
          <w:szCs w:val="21"/>
        </w:rPr>
        <w:t xml:space="preserve"> </w:t>
      </w:r>
      <w:r w:rsidR="00692D70">
        <w:rPr>
          <w:rFonts w:ascii="Arial" w:hAnsi="Arial" w:cs="Arial"/>
          <w:kern w:val="0"/>
          <w:sz w:val="21"/>
          <w:szCs w:val="21"/>
        </w:rPr>
        <w:t xml:space="preserve">decreased </w:t>
      </w:r>
      <w:r w:rsidR="00D555C6">
        <w:rPr>
          <w:rFonts w:ascii="Arial" w:hAnsi="Arial" w:cs="Arial"/>
          <w:kern w:val="0"/>
          <w:sz w:val="21"/>
          <w:szCs w:val="21"/>
        </w:rPr>
        <w:t xml:space="preserve">shear stress </w:t>
      </w:r>
      <w:r>
        <w:rPr>
          <w:rFonts w:ascii="Arial" w:hAnsi="Arial" w:cs="Arial"/>
          <w:kern w:val="0"/>
          <w:sz w:val="21"/>
          <w:szCs w:val="21"/>
        </w:rPr>
        <w:t xml:space="preserve">along </w:t>
      </w:r>
      <w:r w:rsidR="00D555C6">
        <w:rPr>
          <w:rFonts w:ascii="Arial" w:hAnsi="Arial" w:cs="Arial"/>
          <w:kern w:val="0"/>
          <w:sz w:val="21"/>
          <w:szCs w:val="21"/>
        </w:rPr>
        <w:t xml:space="preserve">its </w:t>
      </w:r>
      <w:r>
        <w:rPr>
          <w:rFonts w:ascii="Arial" w:hAnsi="Arial" w:cs="Arial"/>
          <w:kern w:val="0"/>
          <w:sz w:val="21"/>
          <w:szCs w:val="21"/>
        </w:rPr>
        <w:t>rupture zone but increase</w:t>
      </w:r>
      <w:r w:rsidR="00692D70">
        <w:rPr>
          <w:rFonts w:ascii="Arial" w:hAnsi="Arial" w:cs="Arial"/>
          <w:kern w:val="0"/>
          <w:sz w:val="21"/>
          <w:szCs w:val="21"/>
        </w:rPr>
        <w:t>d</w:t>
      </w:r>
      <w:r>
        <w:rPr>
          <w:rFonts w:ascii="Arial" w:hAnsi="Arial" w:cs="Arial"/>
          <w:kern w:val="0"/>
          <w:sz w:val="21"/>
          <w:szCs w:val="21"/>
        </w:rPr>
        <w:t xml:space="preserve"> </w:t>
      </w:r>
      <w:r w:rsidR="00D555C6">
        <w:rPr>
          <w:rFonts w:ascii="Arial" w:hAnsi="Arial" w:cs="Arial"/>
          <w:kern w:val="0"/>
          <w:sz w:val="21"/>
          <w:szCs w:val="21"/>
        </w:rPr>
        <w:t xml:space="preserve">stress </w:t>
      </w:r>
      <w:r>
        <w:rPr>
          <w:rFonts w:ascii="Arial" w:hAnsi="Arial" w:cs="Arial"/>
          <w:kern w:val="0"/>
          <w:sz w:val="21"/>
          <w:szCs w:val="21"/>
        </w:rPr>
        <w:t>on adjacent segments</w:t>
      </w:r>
      <w:r w:rsidR="00550841">
        <w:rPr>
          <w:rFonts w:ascii="Arial" w:hAnsi="Arial" w:cs="Arial"/>
          <w:kern w:val="0"/>
          <w:sz w:val="21"/>
          <w:szCs w:val="21"/>
        </w:rPr>
        <w:t xml:space="preserve"> </w:t>
      </w:r>
      <w:r w:rsidR="00D555C6">
        <w:rPr>
          <w:rFonts w:ascii="Arial" w:hAnsi="Arial" w:cs="Arial"/>
          <w:kern w:val="0"/>
          <w:sz w:val="21"/>
          <w:szCs w:val="21"/>
        </w:rPr>
        <w:t xml:space="preserve">bringing them closer to </w:t>
      </w:r>
      <w:r w:rsidRPr="00CA7522">
        <w:rPr>
          <w:rFonts w:ascii="Arial" w:hAnsi="Arial" w:cs="Arial"/>
          <w:kern w:val="0"/>
          <w:sz w:val="21"/>
          <w:szCs w:val="21"/>
        </w:rPr>
        <w:t>fail</w:t>
      </w:r>
      <w:r w:rsidR="00D555C6">
        <w:rPr>
          <w:rFonts w:ascii="Arial" w:hAnsi="Arial" w:cs="Arial"/>
          <w:kern w:val="0"/>
          <w:sz w:val="21"/>
          <w:szCs w:val="21"/>
        </w:rPr>
        <w:t>ure</w:t>
      </w:r>
      <w:r>
        <w:rPr>
          <w:rFonts w:ascii="Arial" w:hAnsi="Arial" w:cs="Arial"/>
          <w:kern w:val="0"/>
          <w:sz w:val="21"/>
          <w:szCs w:val="21"/>
        </w:rPr>
        <w:t xml:space="preserve"> in </w:t>
      </w:r>
      <w:r w:rsidR="00D555C6">
        <w:rPr>
          <w:rFonts w:ascii="Arial" w:hAnsi="Arial" w:cs="Arial"/>
          <w:kern w:val="0"/>
          <w:sz w:val="21"/>
          <w:szCs w:val="21"/>
        </w:rPr>
        <w:t xml:space="preserve">subsequent </w:t>
      </w:r>
      <w:r>
        <w:rPr>
          <w:rFonts w:ascii="Arial" w:hAnsi="Arial" w:cs="Arial"/>
          <w:kern w:val="0"/>
          <w:sz w:val="21"/>
          <w:szCs w:val="21"/>
        </w:rPr>
        <w:t>earthquake</w:t>
      </w:r>
      <w:r w:rsidR="00D555C6">
        <w:rPr>
          <w:rFonts w:ascii="Arial" w:hAnsi="Arial" w:cs="Arial"/>
          <w:kern w:val="0"/>
          <w:sz w:val="21"/>
          <w:szCs w:val="21"/>
        </w:rPr>
        <w:t>s</w:t>
      </w:r>
      <w:r>
        <w:rPr>
          <w:rFonts w:ascii="Arial" w:hAnsi="Arial" w:cs="Arial"/>
          <w:kern w:val="0"/>
          <w:sz w:val="21"/>
          <w:szCs w:val="21"/>
        </w:rPr>
        <w:t>.</w:t>
      </w:r>
      <w:r w:rsidR="00D555C6">
        <w:rPr>
          <w:rFonts w:ascii="Arial" w:hAnsi="Arial" w:cs="Arial"/>
          <w:kern w:val="0"/>
          <w:sz w:val="21"/>
          <w:szCs w:val="21"/>
        </w:rPr>
        <w:t xml:space="preserve"> So, i</w:t>
      </w:r>
      <w:r>
        <w:rPr>
          <w:rFonts w:ascii="Arial" w:hAnsi="Arial" w:cs="Arial"/>
          <w:kern w:val="0"/>
          <w:sz w:val="21"/>
          <w:szCs w:val="21"/>
        </w:rPr>
        <w:t xml:space="preserve">n 1942, a magnitude 6.9 earthquake ruptured </w:t>
      </w:r>
      <w:r w:rsidR="00D555C6">
        <w:rPr>
          <w:rFonts w:ascii="Arial" w:hAnsi="Arial" w:cs="Arial"/>
          <w:kern w:val="0"/>
          <w:sz w:val="21"/>
          <w:szCs w:val="21"/>
        </w:rPr>
        <w:t>the</w:t>
      </w:r>
      <w:r>
        <w:rPr>
          <w:rFonts w:ascii="Arial" w:hAnsi="Arial" w:cs="Arial"/>
          <w:kern w:val="0"/>
          <w:sz w:val="21"/>
          <w:szCs w:val="21"/>
        </w:rPr>
        <w:t xml:space="preserve"> 40</w:t>
      </w:r>
      <w:r w:rsidR="00D555C6">
        <w:rPr>
          <w:rFonts w:ascii="Arial" w:hAnsi="Arial" w:cs="Arial"/>
          <w:kern w:val="0"/>
          <w:sz w:val="21"/>
          <w:szCs w:val="21"/>
        </w:rPr>
        <w:t>-</w:t>
      </w:r>
      <w:r>
        <w:rPr>
          <w:rFonts w:ascii="Arial" w:hAnsi="Arial" w:cs="Arial"/>
          <w:kern w:val="0"/>
          <w:sz w:val="21"/>
          <w:szCs w:val="21"/>
        </w:rPr>
        <w:t>km</w:t>
      </w:r>
      <w:r w:rsidR="00D555C6">
        <w:rPr>
          <w:rFonts w:ascii="Arial" w:hAnsi="Arial" w:cs="Arial"/>
          <w:kern w:val="0"/>
          <w:sz w:val="21"/>
          <w:szCs w:val="21"/>
        </w:rPr>
        <w:t>-long</w:t>
      </w:r>
      <w:r>
        <w:rPr>
          <w:rFonts w:ascii="Arial" w:hAnsi="Arial" w:cs="Arial"/>
          <w:kern w:val="0"/>
          <w:sz w:val="21"/>
          <w:szCs w:val="21"/>
        </w:rPr>
        <w:t xml:space="preserve"> fault </w:t>
      </w:r>
      <w:r w:rsidR="00D555C6">
        <w:rPr>
          <w:rFonts w:ascii="Arial" w:hAnsi="Arial" w:cs="Arial"/>
          <w:kern w:val="0"/>
          <w:sz w:val="21"/>
          <w:szCs w:val="21"/>
        </w:rPr>
        <w:t xml:space="preserve">segment </w:t>
      </w:r>
      <w:r>
        <w:rPr>
          <w:rFonts w:ascii="Arial" w:hAnsi="Arial" w:cs="Arial"/>
          <w:kern w:val="0"/>
          <w:sz w:val="21"/>
          <w:szCs w:val="21"/>
        </w:rPr>
        <w:t xml:space="preserve">west of the 1939 rupture. Succeeding earthquakes in the westward progression occurred in 1943, ‘44, ’51, ’57, and ’67. </w:t>
      </w:r>
    </w:p>
    <w:p w14:paraId="233B5270" w14:textId="77777777" w:rsidR="006A52E5" w:rsidRPr="00977F80" w:rsidRDefault="006A52E5" w:rsidP="006A52E5">
      <w:pPr>
        <w:spacing w:line="120" w:lineRule="exact"/>
        <w:rPr>
          <w:rFonts w:ascii="Arial" w:hAnsi="Arial" w:cs="Arial"/>
          <w:sz w:val="21"/>
          <w:szCs w:val="21"/>
        </w:rPr>
      </w:pPr>
    </w:p>
    <w:p w14:paraId="5720321E" w14:textId="326E6EEA" w:rsidR="004B05A1" w:rsidRDefault="004B05A1" w:rsidP="004B05A1">
      <w:pPr>
        <w:autoSpaceDE w:val="0"/>
        <w:autoSpaceDN w:val="0"/>
        <w:adjustRightInd w:val="0"/>
        <w:rPr>
          <w:rFonts w:ascii="Arial" w:hAnsi="Arial" w:cs="Arial"/>
          <w:kern w:val="0"/>
          <w:sz w:val="21"/>
          <w:szCs w:val="21"/>
        </w:rPr>
      </w:pPr>
      <w:r>
        <w:rPr>
          <w:rFonts w:ascii="Arial" w:hAnsi="Arial" w:cs="Arial"/>
          <w:kern w:val="0"/>
          <w:sz w:val="21"/>
          <w:szCs w:val="21"/>
        </w:rPr>
        <w:t xml:space="preserve">Historic records and earthquake geology indicate that the segment of the northern strand of the </w:t>
      </w:r>
      <w:r w:rsidRPr="0084088A">
        <w:rPr>
          <w:rFonts w:ascii="Arial" w:hAnsi="Arial" w:cs="Arial"/>
          <w:kern w:val="0"/>
          <w:sz w:val="21"/>
          <w:szCs w:val="21"/>
        </w:rPr>
        <w:t>North Anatolia</w:t>
      </w:r>
      <w:r>
        <w:rPr>
          <w:rFonts w:ascii="Arial" w:hAnsi="Arial" w:cs="Arial"/>
          <w:kern w:val="0"/>
          <w:sz w:val="21"/>
          <w:szCs w:val="21"/>
        </w:rPr>
        <w:t>n</w:t>
      </w:r>
      <w:r w:rsidRPr="0084088A">
        <w:rPr>
          <w:rFonts w:ascii="Arial" w:hAnsi="Arial" w:cs="Arial"/>
          <w:kern w:val="0"/>
          <w:sz w:val="21"/>
          <w:szCs w:val="21"/>
        </w:rPr>
        <w:t xml:space="preserve"> Fault Zone</w:t>
      </w:r>
      <w:r>
        <w:rPr>
          <w:rFonts w:ascii="Arial" w:hAnsi="Arial" w:cs="Arial"/>
          <w:kern w:val="0"/>
          <w:sz w:val="21"/>
          <w:szCs w:val="21"/>
        </w:rPr>
        <w:t xml:space="preserve"> immediately west of the 1967 rupture had not experienced a major earthquake since 1878 and the next segment to the west had a major earthquake in 1719. So, these parts of the fault had been storing elastic energy for centuries. By 1997, geophysicists had early GPS observations of Eurasia – Anatolia plate motion and advancing knowledge of stress changes during earthquakes. This made it possible to issue an “earthquake forecast” indicating 12% probability of a major earthquake near Izmit during the 30-year interval starting in 1997. Just two years later, the magnitude 7.4 Izmit earthquake struck in August followed by the magnitude 7.2 </w:t>
      </w:r>
      <w:proofErr w:type="spellStart"/>
      <w:r>
        <w:rPr>
          <w:rFonts w:ascii="Arial" w:hAnsi="Arial" w:cs="Arial"/>
          <w:kern w:val="0"/>
          <w:sz w:val="21"/>
          <w:szCs w:val="21"/>
        </w:rPr>
        <w:t>Düzce</w:t>
      </w:r>
      <w:proofErr w:type="spellEnd"/>
      <w:r>
        <w:rPr>
          <w:rFonts w:ascii="Arial" w:hAnsi="Arial" w:cs="Arial"/>
          <w:kern w:val="0"/>
          <w:sz w:val="21"/>
          <w:szCs w:val="21"/>
        </w:rPr>
        <w:t xml:space="preserve"> earthquake in November. The Izmit and </w:t>
      </w:r>
      <w:proofErr w:type="spellStart"/>
      <w:r>
        <w:rPr>
          <w:rFonts w:ascii="Arial" w:hAnsi="Arial" w:cs="Arial"/>
          <w:kern w:val="0"/>
          <w:sz w:val="21"/>
          <w:szCs w:val="21"/>
        </w:rPr>
        <w:t>Dünze</w:t>
      </w:r>
      <w:proofErr w:type="spellEnd"/>
      <w:r>
        <w:rPr>
          <w:rFonts w:ascii="Arial" w:hAnsi="Arial" w:cs="Arial"/>
          <w:kern w:val="0"/>
          <w:sz w:val="21"/>
          <w:szCs w:val="21"/>
        </w:rPr>
        <w:t xml:space="preserve"> earthquakes caused at least 20,000 fatalities and widespread damage to buildings and infrastructure as well as liquefaction and subsidence. Affected areas included the eastern suburbs of Istanbul, Turkey’s largest city with a population of 16 million. </w:t>
      </w:r>
    </w:p>
    <w:p w14:paraId="47ED6D8F" w14:textId="77777777" w:rsidR="006A52E5" w:rsidRPr="00977F80" w:rsidRDefault="006A52E5" w:rsidP="006A52E5">
      <w:pPr>
        <w:spacing w:line="120" w:lineRule="exact"/>
        <w:rPr>
          <w:rFonts w:ascii="Arial" w:hAnsi="Arial" w:cs="Arial"/>
          <w:sz w:val="21"/>
          <w:szCs w:val="21"/>
        </w:rPr>
      </w:pPr>
    </w:p>
    <w:p w14:paraId="01552034" w14:textId="349D8104" w:rsidR="004B05A1" w:rsidRDefault="004B05A1" w:rsidP="004B05A1">
      <w:pPr>
        <w:autoSpaceDE w:val="0"/>
        <w:autoSpaceDN w:val="0"/>
        <w:adjustRightInd w:val="0"/>
        <w:rPr>
          <w:rFonts w:ascii="Arial" w:hAnsi="Arial" w:cs="Arial"/>
          <w:kern w:val="0"/>
          <w:sz w:val="21"/>
          <w:szCs w:val="21"/>
        </w:rPr>
      </w:pPr>
      <w:r>
        <w:rPr>
          <w:rFonts w:ascii="Arial" w:hAnsi="Arial" w:cs="Arial"/>
          <w:kern w:val="0"/>
          <w:sz w:val="21"/>
          <w:szCs w:val="21"/>
        </w:rPr>
        <w:t xml:space="preserve">On the west side of the Marmara Sea, a major earthquake occurred in 1912 on the northern strand of the </w:t>
      </w:r>
      <w:r w:rsidRPr="0084088A">
        <w:rPr>
          <w:rFonts w:ascii="Arial" w:hAnsi="Arial" w:cs="Arial"/>
          <w:kern w:val="0"/>
          <w:sz w:val="21"/>
          <w:szCs w:val="21"/>
        </w:rPr>
        <w:t>North Anatolia</w:t>
      </w:r>
      <w:r>
        <w:rPr>
          <w:rFonts w:ascii="Arial" w:hAnsi="Arial" w:cs="Arial"/>
          <w:kern w:val="0"/>
          <w:sz w:val="21"/>
          <w:szCs w:val="21"/>
        </w:rPr>
        <w:t>n</w:t>
      </w:r>
      <w:r w:rsidRPr="0084088A">
        <w:rPr>
          <w:rFonts w:ascii="Arial" w:hAnsi="Arial" w:cs="Arial"/>
          <w:kern w:val="0"/>
          <w:sz w:val="21"/>
          <w:szCs w:val="21"/>
        </w:rPr>
        <w:t xml:space="preserve"> Fault Zone</w:t>
      </w:r>
      <w:r>
        <w:rPr>
          <w:rFonts w:ascii="Arial" w:hAnsi="Arial" w:cs="Arial"/>
          <w:kern w:val="0"/>
          <w:sz w:val="21"/>
          <w:szCs w:val="21"/>
        </w:rPr>
        <w:t xml:space="preserve">. A “seismic gap” is recognized in the east and central </w:t>
      </w:r>
      <w:r w:rsidRPr="0084088A">
        <w:rPr>
          <w:rFonts w:ascii="Arial" w:hAnsi="Arial" w:cs="Arial"/>
          <w:kern w:val="0"/>
          <w:sz w:val="21"/>
          <w:szCs w:val="21"/>
        </w:rPr>
        <w:t xml:space="preserve">Marmara </w:t>
      </w:r>
      <w:r>
        <w:rPr>
          <w:rFonts w:ascii="Arial" w:hAnsi="Arial" w:cs="Arial"/>
          <w:kern w:val="0"/>
          <w:sz w:val="21"/>
          <w:szCs w:val="21"/>
        </w:rPr>
        <w:t xml:space="preserve">Sea where fault </w:t>
      </w:r>
      <w:r w:rsidRPr="0084088A">
        <w:rPr>
          <w:rFonts w:ascii="Arial" w:hAnsi="Arial" w:cs="Arial"/>
          <w:kern w:val="0"/>
          <w:sz w:val="21"/>
          <w:szCs w:val="21"/>
        </w:rPr>
        <w:t>segment</w:t>
      </w:r>
      <w:r>
        <w:rPr>
          <w:rFonts w:ascii="Arial" w:hAnsi="Arial" w:cs="Arial"/>
          <w:kern w:val="0"/>
          <w:sz w:val="21"/>
          <w:szCs w:val="21"/>
        </w:rPr>
        <w:t>s have not experienced a major earthquake since 1894 and 1766, respectively. A recent analysis forecast a 47% chance in the next 30 years of a major earthquake along one or both fault segments. So, Istanbul stands as one of the world’s megacities with very high earthquake hazard.</w:t>
      </w:r>
    </w:p>
    <w:p w14:paraId="3E5F5903" w14:textId="77777777" w:rsidR="006A52E5" w:rsidRPr="00977F80" w:rsidRDefault="006A52E5" w:rsidP="006A52E5">
      <w:pPr>
        <w:spacing w:line="120" w:lineRule="exact"/>
        <w:rPr>
          <w:rFonts w:ascii="Arial" w:hAnsi="Arial" w:cs="Arial"/>
          <w:sz w:val="21"/>
          <w:szCs w:val="21"/>
        </w:rPr>
      </w:pPr>
    </w:p>
    <w:p w14:paraId="7A62A4B5" w14:textId="04748765" w:rsidR="005464F4" w:rsidRPr="007C57A9" w:rsidRDefault="002C2CB6" w:rsidP="005464F4">
      <w:pPr>
        <w:rPr>
          <w:rFonts w:ascii="Arial" w:hAnsi="Arial" w:cs="Arial"/>
          <w:i/>
          <w:iCs/>
          <w:sz w:val="21"/>
          <w:szCs w:val="21"/>
        </w:rPr>
      </w:pPr>
      <w:r>
        <w:rPr>
          <w:rFonts w:ascii="Arial" w:hAnsi="Arial" w:cs="Arial"/>
          <w:sz w:val="21"/>
          <w:szCs w:val="21"/>
        </w:rPr>
        <w:lastRenderedPageBreak/>
        <w:t>GPS observations indicate north – south extension at 33 mm/</w:t>
      </w:r>
      <w:proofErr w:type="spellStart"/>
      <w:r>
        <w:rPr>
          <w:rFonts w:ascii="Arial" w:hAnsi="Arial" w:cs="Arial"/>
          <w:sz w:val="21"/>
          <w:szCs w:val="21"/>
        </w:rPr>
        <w:t>yr</w:t>
      </w:r>
      <w:proofErr w:type="spellEnd"/>
      <w:r>
        <w:rPr>
          <w:rFonts w:ascii="Arial" w:hAnsi="Arial" w:cs="Arial"/>
          <w:sz w:val="21"/>
          <w:szCs w:val="21"/>
        </w:rPr>
        <w:t xml:space="preserve"> along the </w:t>
      </w:r>
      <w:r w:rsidR="00ED1F7C">
        <w:rPr>
          <w:rFonts w:ascii="Arial" w:hAnsi="Arial" w:cs="Arial"/>
          <w:sz w:val="21"/>
          <w:szCs w:val="21"/>
        </w:rPr>
        <w:t xml:space="preserve">west coast of </w:t>
      </w:r>
      <w:proofErr w:type="spellStart"/>
      <w:r w:rsidR="00ED1F7C" w:rsidRPr="00C67A02">
        <w:rPr>
          <w:rFonts w:ascii="Arial" w:hAnsi="Arial" w:cs="Arial"/>
          <w:color w:val="000000"/>
          <w:sz w:val="21"/>
          <w:szCs w:val="21"/>
        </w:rPr>
        <w:t>Türkiye</w:t>
      </w:r>
      <w:proofErr w:type="spellEnd"/>
      <w:r w:rsidR="00141533">
        <w:rPr>
          <w:rFonts w:ascii="Arial" w:hAnsi="Arial" w:cs="Arial"/>
          <w:color w:val="000000"/>
          <w:sz w:val="21"/>
          <w:szCs w:val="21"/>
        </w:rPr>
        <w:t xml:space="preserve"> and offshore Greek islands</w:t>
      </w:r>
      <w:r w:rsidR="00C5504F">
        <w:rPr>
          <w:rFonts w:ascii="Arial" w:hAnsi="Arial" w:cs="Arial"/>
          <w:color w:val="000000"/>
          <w:sz w:val="21"/>
          <w:szCs w:val="21"/>
        </w:rPr>
        <w:t xml:space="preserve">. </w:t>
      </w:r>
      <w:r w:rsidR="00C5504F">
        <w:rPr>
          <w:rFonts w:ascii="Arial" w:hAnsi="Arial" w:cs="Arial"/>
          <w:sz w:val="21"/>
          <w:szCs w:val="21"/>
        </w:rPr>
        <w:t xml:space="preserve">This produces normal-faulting crustal earthquakes </w:t>
      </w:r>
      <w:r w:rsidR="00404F09">
        <w:rPr>
          <w:rFonts w:ascii="Arial" w:hAnsi="Arial" w:cs="Arial"/>
          <w:sz w:val="21"/>
          <w:szCs w:val="21"/>
        </w:rPr>
        <w:t>that pose hazards across the region. Examples include the</w:t>
      </w:r>
      <w:r>
        <w:rPr>
          <w:rFonts w:ascii="Arial" w:hAnsi="Arial" w:cs="Arial"/>
          <w:sz w:val="21"/>
          <w:szCs w:val="21"/>
        </w:rPr>
        <w:t xml:space="preserve"> 1970 </w:t>
      </w:r>
      <w:r w:rsidRPr="00141533">
        <w:rPr>
          <w:rFonts w:ascii="Arial" w:hAnsi="Arial" w:cs="Arial"/>
          <w:sz w:val="21"/>
          <w:szCs w:val="21"/>
        </w:rPr>
        <w:t xml:space="preserve">magnitude 7.2 </w:t>
      </w:r>
      <w:proofErr w:type="spellStart"/>
      <w:r w:rsidR="00141533" w:rsidRPr="002E0C3B">
        <w:rPr>
          <w:rFonts w:ascii="Arial" w:hAnsi="Arial" w:cs="Arial"/>
          <w:sz w:val="21"/>
          <w:szCs w:val="21"/>
        </w:rPr>
        <w:t>Gediz</w:t>
      </w:r>
      <w:proofErr w:type="spellEnd"/>
      <w:r w:rsidR="00141533" w:rsidRPr="00141533">
        <w:rPr>
          <w:rFonts w:ascii="Arial" w:hAnsi="Arial" w:cs="Arial"/>
          <w:sz w:val="21"/>
          <w:szCs w:val="21"/>
        </w:rPr>
        <w:t xml:space="preserve">, </w:t>
      </w:r>
      <w:proofErr w:type="spellStart"/>
      <w:r w:rsidR="00141533" w:rsidRPr="00141533">
        <w:rPr>
          <w:rFonts w:ascii="Arial" w:hAnsi="Arial" w:cs="Arial"/>
          <w:color w:val="000000"/>
          <w:sz w:val="21"/>
          <w:szCs w:val="21"/>
        </w:rPr>
        <w:t>Türkiye</w:t>
      </w:r>
      <w:proofErr w:type="spellEnd"/>
      <w:r w:rsidR="00141533" w:rsidRPr="00141533">
        <w:rPr>
          <w:rFonts w:ascii="Arial" w:hAnsi="Arial" w:cs="Arial"/>
          <w:sz w:val="21"/>
          <w:szCs w:val="21"/>
        </w:rPr>
        <w:t xml:space="preserve"> </w:t>
      </w:r>
      <w:r w:rsidR="0065778F">
        <w:rPr>
          <w:rFonts w:ascii="Arial" w:hAnsi="Arial" w:cs="Arial"/>
          <w:sz w:val="21"/>
          <w:szCs w:val="21"/>
        </w:rPr>
        <w:t xml:space="preserve">earthquake </w:t>
      </w:r>
      <w:r w:rsidRPr="00141533">
        <w:rPr>
          <w:rFonts w:ascii="Arial" w:hAnsi="Arial" w:cs="Arial"/>
          <w:sz w:val="21"/>
          <w:szCs w:val="21"/>
        </w:rPr>
        <w:t>and 2020 magnitude 7.0</w:t>
      </w:r>
      <w:r w:rsidR="00141533">
        <w:rPr>
          <w:rFonts w:ascii="Arial" w:hAnsi="Arial" w:cs="Arial"/>
          <w:sz w:val="21"/>
          <w:szCs w:val="21"/>
        </w:rPr>
        <w:t xml:space="preserve"> Samos Island, Greece </w:t>
      </w:r>
      <w:r w:rsidRPr="00141533">
        <w:rPr>
          <w:rFonts w:ascii="Arial" w:hAnsi="Arial" w:cs="Arial"/>
          <w:sz w:val="21"/>
          <w:szCs w:val="21"/>
        </w:rPr>
        <w:t>earthquake.</w:t>
      </w:r>
    </w:p>
    <w:p w14:paraId="3A342605" w14:textId="3C38E8A4" w:rsidR="00095A6F" w:rsidRPr="002036FE" w:rsidRDefault="001315DB" w:rsidP="00996BA4">
      <w:pPr>
        <w:rPr>
          <w:rFonts w:ascii="Arial" w:hAnsi="Arial" w:cs="Arial"/>
          <w:sz w:val="21"/>
          <w:szCs w:val="21"/>
        </w:rPr>
      </w:pPr>
      <w:r>
        <w:rPr>
          <w:rFonts w:ascii="Arial" w:hAnsi="Arial" w:cs="Arial"/>
          <w:sz w:val="21"/>
          <w:szCs w:val="21"/>
        </w:rPr>
        <w:t>The southe</w:t>
      </w:r>
      <w:r w:rsidR="00267475">
        <w:rPr>
          <w:rFonts w:ascii="Arial" w:hAnsi="Arial" w:cs="Arial"/>
          <w:sz w:val="21"/>
          <w:szCs w:val="21"/>
        </w:rPr>
        <w:t xml:space="preserve">ast </w:t>
      </w:r>
      <w:r>
        <w:rPr>
          <w:rFonts w:ascii="Arial" w:hAnsi="Arial" w:cs="Arial"/>
          <w:sz w:val="21"/>
          <w:szCs w:val="21"/>
        </w:rPr>
        <w:t>boundary</w:t>
      </w:r>
      <w:r w:rsidR="00267475">
        <w:rPr>
          <w:rFonts w:ascii="Arial" w:hAnsi="Arial" w:cs="Arial"/>
          <w:sz w:val="21"/>
          <w:szCs w:val="21"/>
        </w:rPr>
        <w:t xml:space="preserve"> of the Anatolian Plate</w:t>
      </w:r>
      <w:r>
        <w:rPr>
          <w:rFonts w:ascii="Arial" w:hAnsi="Arial" w:cs="Arial"/>
          <w:sz w:val="21"/>
          <w:szCs w:val="21"/>
        </w:rPr>
        <w:t xml:space="preserve"> is </w:t>
      </w:r>
      <w:r w:rsidR="00F61CED">
        <w:rPr>
          <w:rFonts w:ascii="Arial" w:hAnsi="Arial" w:cs="Arial"/>
          <w:sz w:val="21"/>
          <w:szCs w:val="21"/>
        </w:rPr>
        <w:t>t</w:t>
      </w:r>
      <w:r w:rsidR="004A3FA5" w:rsidRPr="002036FE">
        <w:rPr>
          <w:rFonts w:ascii="Arial" w:hAnsi="Arial" w:cs="Arial"/>
          <w:sz w:val="21"/>
          <w:szCs w:val="21"/>
        </w:rPr>
        <w:t>he</w:t>
      </w:r>
      <w:r w:rsidR="00267475">
        <w:rPr>
          <w:rFonts w:ascii="Arial" w:hAnsi="Arial" w:cs="Arial"/>
          <w:sz w:val="21"/>
          <w:szCs w:val="21"/>
        </w:rPr>
        <w:t xml:space="preserve"> </w:t>
      </w:r>
      <w:r w:rsidR="00996BA4">
        <w:rPr>
          <w:rFonts w:ascii="Arial" w:hAnsi="Arial" w:cs="Arial"/>
          <w:sz w:val="21"/>
          <w:szCs w:val="21"/>
        </w:rPr>
        <w:t xml:space="preserve">left-lateral </w:t>
      </w:r>
      <w:r w:rsidR="00D64E0B" w:rsidRPr="002036FE">
        <w:rPr>
          <w:rFonts w:ascii="Arial" w:hAnsi="Arial" w:cs="Arial"/>
          <w:sz w:val="21"/>
          <w:szCs w:val="21"/>
        </w:rPr>
        <w:t>E</w:t>
      </w:r>
      <w:r w:rsidR="00F678C4" w:rsidRPr="002036FE">
        <w:rPr>
          <w:rFonts w:ascii="Arial" w:hAnsi="Arial" w:cs="Arial"/>
          <w:sz w:val="21"/>
          <w:szCs w:val="21"/>
        </w:rPr>
        <w:t xml:space="preserve">ast </w:t>
      </w:r>
      <w:r w:rsidR="00D64E0B" w:rsidRPr="002036FE">
        <w:rPr>
          <w:rFonts w:ascii="Arial" w:hAnsi="Arial" w:cs="Arial"/>
          <w:sz w:val="21"/>
          <w:szCs w:val="21"/>
        </w:rPr>
        <w:t>A</w:t>
      </w:r>
      <w:r w:rsidR="00F678C4" w:rsidRPr="002036FE">
        <w:rPr>
          <w:rFonts w:ascii="Arial" w:hAnsi="Arial" w:cs="Arial"/>
          <w:sz w:val="21"/>
          <w:szCs w:val="21"/>
        </w:rPr>
        <w:t>natolia</w:t>
      </w:r>
      <w:r w:rsidR="006807D4" w:rsidRPr="002036FE">
        <w:rPr>
          <w:rFonts w:ascii="Arial" w:hAnsi="Arial" w:cs="Arial"/>
          <w:sz w:val="21"/>
          <w:szCs w:val="21"/>
        </w:rPr>
        <w:t>n</w:t>
      </w:r>
      <w:r w:rsidR="00F678C4" w:rsidRPr="002036FE">
        <w:rPr>
          <w:rFonts w:ascii="Arial" w:hAnsi="Arial" w:cs="Arial"/>
          <w:sz w:val="21"/>
          <w:szCs w:val="21"/>
        </w:rPr>
        <w:t xml:space="preserve"> </w:t>
      </w:r>
      <w:r w:rsidR="00D64E0B" w:rsidRPr="002036FE">
        <w:rPr>
          <w:rFonts w:ascii="Arial" w:hAnsi="Arial" w:cs="Arial"/>
          <w:sz w:val="21"/>
          <w:szCs w:val="21"/>
        </w:rPr>
        <w:t>F</w:t>
      </w:r>
      <w:r w:rsidR="006807D4" w:rsidRPr="002036FE">
        <w:rPr>
          <w:rFonts w:ascii="Arial" w:hAnsi="Arial" w:cs="Arial"/>
          <w:sz w:val="21"/>
          <w:szCs w:val="21"/>
        </w:rPr>
        <w:t xml:space="preserve">ault </w:t>
      </w:r>
      <w:r w:rsidR="00D64E0B" w:rsidRPr="002036FE">
        <w:rPr>
          <w:rFonts w:ascii="Arial" w:hAnsi="Arial" w:cs="Arial"/>
          <w:sz w:val="21"/>
          <w:szCs w:val="21"/>
        </w:rPr>
        <w:t>Z</w:t>
      </w:r>
      <w:r w:rsidR="006807D4" w:rsidRPr="002036FE">
        <w:rPr>
          <w:rFonts w:ascii="Arial" w:hAnsi="Arial" w:cs="Arial"/>
          <w:sz w:val="21"/>
          <w:szCs w:val="21"/>
        </w:rPr>
        <w:t>one</w:t>
      </w:r>
      <w:r w:rsidR="00D64E0B" w:rsidRPr="002036FE">
        <w:rPr>
          <w:rFonts w:ascii="Arial" w:hAnsi="Arial" w:cs="Arial"/>
          <w:sz w:val="21"/>
          <w:szCs w:val="21"/>
        </w:rPr>
        <w:t xml:space="preserve">. </w:t>
      </w:r>
      <w:r w:rsidR="004C6E2C">
        <w:rPr>
          <w:rFonts w:ascii="Arial" w:hAnsi="Arial" w:cs="Arial"/>
          <w:sz w:val="21"/>
          <w:szCs w:val="21"/>
        </w:rPr>
        <w:t>While the</w:t>
      </w:r>
      <w:r>
        <w:rPr>
          <w:rFonts w:ascii="Arial" w:hAnsi="Arial" w:cs="Arial"/>
          <w:sz w:val="21"/>
          <w:szCs w:val="21"/>
        </w:rPr>
        <w:t xml:space="preserve"> northeast half is a single strike-slip fault</w:t>
      </w:r>
      <w:r w:rsidR="004C6E2C">
        <w:rPr>
          <w:rFonts w:ascii="Arial" w:hAnsi="Arial" w:cs="Arial"/>
          <w:sz w:val="21"/>
          <w:szCs w:val="21"/>
        </w:rPr>
        <w:t>,</w:t>
      </w:r>
      <w:r>
        <w:rPr>
          <w:rFonts w:ascii="Arial" w:hAnsi="Arial" w:cs="Arial"/>
          <w:sz w:val="21"/>
          <w:szCs w:val="21"/>
        </w:rPr>
        <w:t xml:space="preserve"> the southwest half is part of a </w:t>
      </w:r>
      <w:r w:rsidR="00F678C4" w:rsidRPr="002036FE">
        <w:rPr>
          <w:rFonts w:ascii="Arial" w:hAnsi="Arial" w:cs="Arial"/>
          <w:sz w:val="21"/>
          <w:szCs w:val="21"/>
        </w:rPr>
        <w:t>c</w:t>
      </w:r>
      <w:r w:rsidR="00084E5C" w:rsidRPr="002036FE">
        <w:rPr>
          <w:rFonts w:ascii="Arial" w:hAnsi="Arial" w:cs="Arial"/>
          <w:sz w:val="21"/>
          <w:szCs w:val="21"/>
        </w:rPr>
        <w:t>omplex triple junction</w:t>
      </w:r>
      <w:r w:rsidR="00F678C4" w:rsidRPr="002036FE">
        <w:rPr>
          <w:rFonts w:ascii="Arial" w:hAnsi="Arial" w:cs="Arial"/>
          <w:sz w:val="21"/>
          <w:szCs w:val="21"/>
        </w:rPr>
        <w:t xml:space="preserve"> between the</w:t>
      </w:r>
      <w:r w:rsidR="00084E5C" w:rsidRPr="002036FE">
        <w:rPr>
          <w:rFonts w:ascii="Arial" w:hAnsi="Arial" w:cs="Arial"/>
          <w:sz w:val="21"/>
          <w:szCs w:val="21"/>
        </w:rPr>
        <w:t xml:space="preserve"> Nubian, Arabian, and Anatolian plates</w:t>
      </w:r>
      <w:r w:rsidR="00862781">
        <w:rPr>
          <w:rFonts w:ascii="Arial" w:hAnsi="Arial" w:cs="Arial"/>
          <w:sz w:val="21"/>
          <w:szCs w:val="21"/>
        </w:rPr>
        <w:t xml:space="preserve">. </w:t>
      </w:r>
      <w:r w:rsidR="00814FD2" w:rsidRPr="002036FE">
        <w:rPr>
          <w:rFonts w:ascii="Arial" w:hAnsi="Arial" w:cs="Arial"/>
          <w:sz w:val="21"/>
          <w:szCs w:val="21"/>
        </w:rPr>
        <w:t xml:space="preserve">GPS observations indicate </w:t>
      </w:r>
      <w:r w:rsidR="00996BA4">
        <w:rPr>
          <w:rFonts w:ascii="Arial" w:hAnsi="Arial" w:cs="Arial"/>
          <w:sz w:val="21"/>
          <w:szCs w:val="21"/>
        </w:rPr>
        <w:t xml:space="preserve">rates of </w:t>
      </w:r>
      <w:r w:rsidR="00814FD2" w:rsidRPr="002036FE">
        <w:rPr>
          <w:rFonts w:ascii="Arial" w:hAnsi="Arial" w:cs="Arial"/>
          <w:sz w:val="21"/>
          <w:szCs w:val="21"/>
        </w:rPr>
        <w:t>10 mm/</w:t>
      </w:r>
      <w:proofErr w:type="spellStart"/>
      <w:r w:rsidR="00814FD2" w:rsidRPr="002036FE">
        <w:rPr>
          <w:rFonts w:ascii="Arial" w:hAnsi="Arial" w:cs="Arial"/>
          <w:sz w:val="21"/>
          <w:szCs w:val="21"/>
        </w:rPr>
        <w:t>yr</w:t>
      </w:r>
      <w:proofErr w:type="spellEnd"/>
      <w:r w:rsidR="00814FD2" w:rsidRPr="002036FE">
        <w:rPr>
          <w:rFonts w:ascii="Arial" w:hAnsi="Arial" w:cs="Arial"/>
          <w:sz w:val="21"/>
          <w:szCs w:val="21"/>
        </w:rPr>
        <w:t xml:space="preserve"> </w:t>
      </w:r>
      <w:r w:rsidR="00602893" w:rsidRPr="002036FE">
        <w:rPr>
          <w:rFonts w:ascii="Arial" w:hAnsi="Arial" w:cs="Arial"/>
          <w:sz w:val="21"/>
          <w:szCs w:val="21"/>
        </w:rPr>
        <w:t>across</w:t>
      </w:r>
      <w:r w:rsidR="00814FD2" w:rsidRPr="002036FE">
        <w:rPr>
          <w:rFonts w:ascii="Arial" w:hAnsi="Arial" w:cs="Arial"/>
          <w:sz w:val="21"/>
          <w:szCs w:val="21"/>
        </w:rPr>
        <w:t xml:space="preserve"> the northeastern East Anatolian Fault Zone</w:t>
      </w:r>
      <w:r w:rsidR="00996BA4">
        <w:rPr>
          <w:rFonts w:ascii="Arial" w:hAnsi="Arial" w:cs="Arial"/>
          <w:sz w:val="21"/>
          <w:szCs w:val="21"/>
        </w:rPr>
        <w:t xml:space="preserve">, </w:t>
      </w:r>
      <w:r w:rsidR="00996BA4" w:rsidRPr="002036FE">
        <w:rPr>
          <w:rFonts w:ascii="Arial" w:hAnsi="Arial" w:cs="Arial"/>
          <w:sz w:val="21"/>
          <w:szCs w:val="21"/>
        </w:rPr>
        <w:t>3 mm/</w:t>
      </w:r>
      <w:proofErr w:type="spellStart"/>
      <w:r w:rsidR="00996BA4" w:rsidRPr="002036FE">
        <w:rPr>
          <w:rFonts w:ascii="Arial" w:hAnsi="Arial" w:cs="Arial"/>
          <w:sz w:val="21"/>
          <w:szCs w:val="21"/>
        </w:rPr>
        <w:t>yr</w:t>
      </w:r>
      <w:proofErr w:type="spellEnd"/>
      <w:r w:rsidR="00996BA4" w:rsidRPr="002036FE">
        <w:rPr>
          <w:rFonts w:ascii="Arial" w:hAnsi="Arial" w:cs="Arial"/>
          <w:sz w:val="21"/>
          <w:szCs w:val="21"/>
        </w:rPr>
        <w:t xml:space="preserve"> across the</w:t>
      </w:r>
      <w:r w:rsidR="00996BA4" w:rsidRPr="00996BA4">
        <w:rPr>
          <w:rFonts w:ascii="Arial" w:hAnsi="Arial" w:cs="Arial"/>
          <w:sz w:val="21"/>
          <w:szCs w:val="21"/>
        </w:rPr>
        <w:t xml:space="preserve"> </w:t>
      </w:r>
      <w:r w:rsidR="00996BA4">
        <w:rPr>
          <w:rFonts w:ascii="Arial" w:hAnsi="Arial" w:cs="Arial"/>
          <w:sz w:val="21"/>
          <w:szCs w:val="21"/>
        </w:rPr>
        <w:t>N</w:t>
      </w:r>
      <w:r w:rsidR="00996BA4" w:rsidRPr="002036FE">
        <w:rPr>
          <w:rFonts w:ascii="Arial" w:hAnsi="Arial" w:cs="Arial"/>
          <w:sz w:val="21"/>
          <w:szCs w:val="21"/>
        </w:rPr>
        <w:t xml:space="preserve">orthern </w:t>
      </w:r>
      <w:r w:rsidR="00996BA4">
        <w:rPr>
          <w:rFonts w:ascii="Arial" w:hAnsi="Arial" w:cs="Arial"/>
          <w:sz w:val="21"/>
          <w:szCs w:val="21"/>
        </w:rPr>
        <w:t>S</w:t>
      </w:r>
      <w:r w:rsidR="00996BA4" w:rsidRPr="002036FE">
        <w:rPr>
          <w:rFonts w:ascii="Arial" w:hAnsi="Arial" w:cs="Arial"/>
          <w:sz w:val="21"/>
          <w:szCs w:val="21"/>
        </w:rPr>
        <w:t>trand</w:t>
      </w:r>
      <w:r w:rsidR="00996BA4">
        <w:rPr>
          <w:rFonts w:ascii="Arial" w:hAnsi="Arial" w:cs="Arial"/>
          <w:sz w:val="21"/>
          <w:szCs w:val="21"/>
        </w:rPr>
        <w:t xml:space="preserve">, and </w:t>
      </w:r>
      <w:r w:rsidR="00996BA4" w:rsidRPr="002036FE">
        <w:rPr>
          <w:rFonts w:ascii="Arial" w:hAnsi="Arial" w:cs="Arial"/>
          <w:sz w:val="21"/>
          <w:szCs w:val="21"/>
        </w:rPr>
        <w:t>7 mm/</w:t>
      </w:r>
      <w:proofErr w:type="spellStart"/>
      <w:r w:rsidR="00996BA4" w:rsidRPr="002036FE">
        <w:rPr>
          <w:rFonts w:ascii="Arial" w:hAnsi="Arial" w:cs="Arial"/>
          <w:sz w:val="21"/>
          <w:szCs w:val="21"/>
        </w:rPr>
        <w:t>yr</w:t>
      </w:r>
      <w:proofErr w:type="spellEnd"/>
      <w:r w:rsidR="00996BA4" w:rsidRPr="002036FE">
        <w:rPr>
          <w:rFonts w:ascii="Arial" w:hAnsi="Arial" w:cs="Arial"/>
          <w:sz w:val="21"/>
          <w:szCs w:val="21"/>
        </w:rPr>
        <w:t xml:space="preserve"> across the</w:t>
      </w:r>
      <w:r w:rsidR="00996BA4" w:rsidRPr="00996BA4">
        <w:rPr>
          <w:rFonts w:ascii="Arial" w:hAnsi="Arial" w:cs="Arial"/>
          <w:sz w:val="21"/>
          <w:szCs w:val="21"/>
        </w:rPr>
        <w:t xml:space="preserve"> </w:t>
      </w:r>
      <w:r w:rsidR="00996BA4">
        <w:rPr>
          <w:rFonts w:ascii="Arial" w:hAnsi="Arial" w:cs="Arial"/>
          <w:sz w:val="21"/>
          <w:szCs w:val="21"/>
        </w:rPr>
        <w:t>S</w:t>
      </w:r>
      <w:r w:rsidR="00996BA4" w:rsidRPr="002036FE">
        <w:rPr>
          <w:rFonts w:ascii="Arial" w:hAnsi="Arial" w:cs="Arial"/>
          <w:sz w:val="21"/>
          <w:szCs w:val="21"/>
        </w:rPr>
        <w:t>outhern</w:t>
      </w:r>
      <w:r w:rsidR="00996BA4">
        <w:rPr>
          <w:rFonts w:ascii="Arial" w:hAnsi="Arial" w:cs="Arial"/>
          <w:sz w:val="21"/>
          <w:szCs w:val="21"/>
        </w:rPr>
        <w:t xml:space="preserve"> Strand.</w:t>
      </w:r>
      <w:r w:rsidR="00814FD2" w:rsidRPr="002036FE">
        <w:rPr>
          <w:rFonts w:ascii="Arial" w:hAnsi="Arial" w:cs="Arial"/>
          <w:sz w:val="21"/>
          <w:szCs w:val="21"/>
        </w:rPr>
        <w:t xml:space="preserve"> </w:t>
      </w:r>
      <w:r w:rsidR="00862781">
        <w:rPr>
          <w:rFonts w:ascii="Arial" w:hAnsi="Arial" w:cs="Arial"/>
          <w:sz w:val="21"/>
          <w:szCs w:val="21"/>
        </w:rPr>
        <w:t xml:space="preserve">We will show that the Northern and Southern Strands of the </w:t>
      </w:r>
      <w:r w:rsidR="00862781" w:rsidRPr="002036FE">
        <w:rPr>
          <w:rFonts w:ascii="Arial" w:hAnsi="Arial" w:cs="Arial"/>
          <w:sz w:val="21"/>
          <w:szCs w:val="21"/>
        </w:rPr>
        <w:t>East Anatolian Fault Zone</w:t>
      </w:r>
      <w:r w:rsidR="00862781">
        <w:rPr>
          <w:rFonts w:ascii="Arial" w:hAnsi="Arial" w:cs="Arial"/>
          <w:sz w:val="21"/>
          <w:szCs w:val="21"/>
        </w:rPr>
        <w:t xml:space="preserve"> and the </w:t>
      </w:r>
      <w:r w:rsidR="00862781" w:rsidRPr="002036FE">
        <w:rPr>
          <w:rFonts w:ascii="Arial" w:hAnsi="Arial" w:cs="Arial"/>
          <w:sz w:val="21"/>
          <w:szCs w:val="21"/>
        </w:rPr>
        <w:t>Dead Sea Transform</w:t>
      </w:r>
      <w:r w:rsidR="00862781">
        <w:rPr>
          <w:rFonts w:ascii="Arial" w:hAnsi="Arial" w:cs="Arial"/>
          <w:sz w:val="21"/>
          <w:szCs w:val="21"/>
        </w:rPr>
        <w:t xml:space="preserve"> had no significant earthquakes in 500 years</w:t>
      </w:r>
      <w:r w:rsidR="00862781" w:rsidRPr="002036FE">
        <w:rPr>
          <w:rFonts w:ascii="Arial" w:hAnsi="Arial" w:cs="Arial"/>
          <w:sz w:val="21"/>
          <w:szCs w:val="21"/>
        </w:rPr>
        <w:t>.</w:t>
      </w:r>
    </w:p>
    <w:p w14:paraId="7BE73E66" w14:textId="77777777" w:rsidR="006A52E5" w:rsidRPr="00977F80" w:rsidRDefault="006A52E5" w:rsidP="006A52E5">
      <w:pPr>
        <w:spacing w:line="120" w:lineRule="exact"/>
        <w:rPr>
          <w:rFonts w:ascii="Arial" w:hAnsi="Arial" w:cs="Arial"/>
          <w:sz w:val="21"/>
          <w:szCs w:val="21"/>
        </w:rPr>
      </w:pPr>
    </w:p>
    <w:p w14:paraId="53F5B3C7" w14:textId="0C62236D" w:rsidR="00095A6F" w:rsidRPr="002036FE" w:rsidRDefault="00177070" w:rsidP="009055F7">
      <w:pPr>
        <w:rPr>
          <w:rFonts w:ascii="Arial" w:hAnsi="Arial" w:cs="Arial"/>
          <w:sz w:val="13"/>
          <w:szCs w:val="13"/>
        </w:rPr>
      </w:pPr>
      <w:r>
        <w:rPr>
          <w:rFonts w:ascii="Arial" w:hAnsi="Arial" w:cs="Arial"/>
          <w:sz w:val="21"/>
          <w:szCs w:val="21"/>
        </w:rPr>
        <w:t>H</w:t>
      </w:r>
      <w:r w:rsidR="00B80B28" w:rsidRPr="002036FE">
        <w:rPr>
          <w:rFonts w:ascii="Arial" w:hAnsi="Arial" w:cs="Arial"/>
          <w:sz w:val="21"/>
          <w:szCs w:val="21"/>
        </w:rPr>
        <w:t xml:space="preserve">istorical records </w:t>
      </w:r>
      <w:r w:rsidR="00996BA4">
        <w:rPr>
          <w:rFonts w:ascii="Arial" w:hAnsi="Arial" w:cs="Arial"/>
          <w:sz w:val="21"/>
          <w:szCs w:val="21"/>
        </w:rPr>
        <w:t>provide</w:t>
      </w:r>
      <w:r w:rsidR="00B80B28" w:rsidRPr="002036FE">
        <w:rPr>
          <w:rFonts w:ascii="Arial" w:hAnsi="Arial" w:cs="Arial"/>
          <w:sz w:val="21"/>
          <w:szCs w:val="21"/>
        </w:rPr>
        <w:t xml:space="preserve"> locations and </w:t>
      </w:r>
      <w:r w:rsidR="00996BA4">
        <w:rPr>
          <w:rFonts w:ascii="Arial" w:hAnsi="Arial" w:cs="Arial"/>
          <w:sz w:val="21"/>
          <w:szCs w:val="21"/>
        </w:rPr>
        <w:t>approximate</w:t>
      </w:r>
      <w:r w:rsidR="00996BA4" w:rsidRPr="002036FE">
        <w:rPr>
          <w:rFonts w:ascii="Arial" w:hAnsi="Arial" w:cs="Arial"/>
          <w:sz w:val="21"/>
          <w:szCs w:val="21"/>
        </w:rPr>
        <w:t xml:space="preserve"> </w:t>
      </w:r>
      <w:r w:rsidR="00B80B28" w:rsidRPr="002036FE">
        <w:rPr>
          <w:rFonts w:ascii="Arial" w:hAnsi="Arial" w:cs="Arial"/>
          <w:sz w:val="21"/>
          <w:szCs w:val="21"/>
        </w:rPr>
        <w:t xml:space="preserve">magnitudes of </w:t>
      </w:r>
      <w:r w:rsidR="00AA2C64" w:rsidRPr="002036FE">
        <w:rPr>
          <w:rFonts w:ascii="Arial" w:hAnsi="Arial" w:cs="Arial"/>
          <w:sz w:val="21"/>
          <w:szCs w:val="21"/>
        </w:rPr>
        <w:t xml:space="preserve">major </w:t>
      </w:r>
      <w:r w:rsidR="00B80B28" w:rsidRPr="002036FE">
        <w:rPr>
          <w:rFonts w:ascii="Arial" w:hAnsi="Arial" w:cs="Arial"/>
          <w:sz w:val="21"/>
          <w:szCs w:val="21"/>
        </w:rPr>
        <w:t>earthquakes through the 19</w:t>
      </w:r>
      <w:r w:rsidR="00B80B28" w:rsidRPr="002036FE">
        <w:rPr>
          <w:rFonts w:ascii="Arial" w:hAnsi="Arial" w:cs="Arial"/>
          <w:sz w:val="21"/>
          <w:szCs w:val="21"/>
          <w:vertAlign w:val="superscript"/>
        </w:rPr>
        <w:t>th</w:t>
      </w:r>
      <w:r w:rsidR="00B80B28" w:rsidRPr="002036FE">
        <w:rPr>
          <w:rFonts w:ascii="Arial" w:hAnsi="Arial" w:cs="Arial"/>
          <w:sz w:val="21"/>
          <w:szCs w:val="21"/>
        </w:rPr>
        <w:t xml:space="preserve"> and early 20</w:t>
      </w:r>
      <w:r w:rsidR="00B80B28" w:rsidRPr="002036FE">
        <w:rPr>
          <w:rFonts w:ascii="Arial" w:hAnsi="Arial" w:cs="Arial"/>
          <w:sz w:val="21"/>
          <w:szCs w:val="21"/>
          <w:vertAlign w:val="superscript"/>
        </w:rPr>
        <w:t>th</w:t>
      </w:r>
      <w:r w:rsidR="00B80B28" w:rsidRPr="002036FE">
        <w:rPr>
          <w:rFonts w:ascii="Arial" w:hAnsi="Arial" w:cs="Arial"/>
          <w:sz w:val="21"/>
          <w:szCs w:val="21"/>
        </w:rPr>
        <w:t xml:space="preserve"> centuries</w:t>
      </w:r>
      <w:r w:rsidR="00E724EA" w:rsidRPr="002036FE">
        <w:rPr>
          <w:rFonts w:ascii="Arial" w:hAnsi="Arial" w:cs="Arial"/>
          <w:sz w:val="21"/>
          <w:szCs w:val="21"/>
        </w:rPr>
        <w:t xml:space="preserve">. </w:t>
      </w:r>
      <w:r w:rsidR="00196111" w:rsidRPr="002036FE">
        <w:rPr>
          <w:rFonts w:ascii="Arial" w:hAnsi="Arial" w:cs="Arial"/>
          <w:sz w:val="21"/>
          <w:szCs w:val="21"/>
        </w:rPr>
        <w:t xml:space="preserve">By the 1960s, </w:t>
      </w:r>
      <w:r w:rsidR="00DD4BC4" w:rsidRPr="002036FE">
        <w:rPr>
          <w:rFonts w:ascii="Arial" w:hAnsi="Arial" w:cs="Arial"/>
          <w:sz w:val="21"/>
          <w:szCs w:val="21"/>
        </w:rPr>
        <w:t xml:space="preserve">data from seismic </w:t>
      </w:r>
      <w:r w:rsidR="00196111" w:rsidRPr="002036FE">
        <w:rPr>
          <w:rFonts w:ascii="Arial" w:hAnsi="Arial" w:cs="Arial"/>
          <w:sz w:val="21"/>
          <w:szCs w:val="21"/>
        </w:rPr>
        <w:t xml:space="preserve">networks </w:t>
      </w:r>
      <w:r w:rsidR="00DF3D9F" w:rsidRPr="002036FE">
        <w:rPr>
          <w:rFonts w:ascii="Arial" w:hAnsi="Arial" w:cs="Arial"/>
          <w:sz w:val="21"/>
          <w:szCs w:val="21"/>
        </w:rPr>
        <w:t xml:space="preserve">could accurately determine </w:t>
      </w:r>
      <w:r w:rsidR="006E478C">
        <w:rPr>
          <w:rFonts w:ascii="Arial" w:hAnsi="Arial" w:cs="Arial"/>
          <w:sz w:val="21"/>
          <w:szCs w:val="21"/>
        </w:rPr>
        <w:t xml:space="preserve">both </w:t>
      </w:r>
      <w:r w:rsidR="00DD4BC4" w:rsidRPr="002036FE">
        <w:rPr>
          <w:rFonts w:ascii="Arial" w:hAnsi="Arial" w:cs="Arial"/>
          <w:sz w:val="21"/>
          <w:szCs w:val="21"/>
        </w:rPr>
        <w:t xml:space="preserve">earthquake </w:t>
      </w:r>
      <w:r w:rsidR="00656C7F">
        <w:rPr>
          <w:rFonts w:ascii="Arial" w:hAnsi="Arial" w:cs="Arial"/>
          <w:sz w:val="21"/>
          <w:szCs w:val="21"/>
        </w:rPr>
        <w:t>epicenters</w:t>
      </w:r>
      <w:r w:rsidR="00656C7F" w:rsidRPr="002036FE">
        <w:rPr>
          <w:rFonts w:ascii="Arial" w:hAnsi="Arial" w:cs="Arial"/>
          <w:sz w:val="21"/>
          <w:szCs w:val="21"/>
        </w:rPr>
        <w:t xml:space="preserve"> </w:t>
      </w:r>
      <w:r w:rsidR="00DD4BC4" w:rsidRPr="002036FE">
        <w:rPr>
          <w:rFonts w:ascii="Arial" w:hAnsi="Arial" w:cs="Arial"/>
          <w:sz w:val="21"/>
          <w:szCs w:val="21"/>
        </w:rPr>
        <w:t xml:space="preserve">and magnitudes. </w:t>
      </w:r>
      <w:r w:rsidR="00B702EA" w:rsidRPr="002036FE">
        <w:rPr>
          <w:rFonts w:ascii="Arial" w:hAnsi="Arial" w:cs="Arial"/>
          <w:sz w:val="21"/>
          <w:szCs w:val="21"/>
        </w:rPr>
        <w:t xml:space="preserve">In this 200-year history, the </w:t>
      </w:r>
      <w:r w:rsidR="00656C7F">
        <w:rPr>
          <w:rFonts w:ascii="Arial" w:hAnsi="Arial" w:cs="Arial"/>
          <w:sz w:val="21"/>
          <w:szCs w:val="21"/>
        </w:rPr>
        <w:t>N</w:t>
      </w:r>
      <w:r w:rsidR="00B702EA" w:rsidRPr="002036FE">
        <w:rPr>
          <w:rFonts w:ascii="Arial" w:hAnsi="Arial" w:cs="Arial"/>
          <w:sz w:val="21"/>
          <w:szCs w:val="21"/>
        </w:rPr>
        <w:t xml:space="preserve">orthern </w:t>
      </w:r>
      <w:r w:rsidR="00D90E1B" w:rsidRPr="002036FE">
        <w:rPr>
          <w:rFonts w:ascii="Arial" w:hAnsi="Arial" w:cs="Arial"/>
          <w:sz w:val="21"/>
          <w:szCs w:val="21"/>
        </w:rPr>
        <w:t xml:space="preserve">and </w:t>
      </w:r>
      <w:r w:rsidR="00656C7F">
        <w:rPr>
          <w:rFonts w:ascii="Arial" w:hAnsi="Arial" w:cs="Arial"/>
          <w:sz w:val="21"/>
          <w:szCs w:val="21"/>
        </w:rPr>
        <w:t>S</w:t>
      </w:r>
      <w:r w:rsidR="00D90E1B" w:rsidRPr="002036FE">
        <w:rPr>
          <w:rFonts w:ascii="Arial" w:hAnsi="Arial" w:cs="Arial"/>
          <w:sz w:val="21"/>
          <w:szCs w:val="21"/>
        </w:rPr>
        <w:t xml:space="preserve">outhern </w:t>
      </w:r>
      <w:r w:rsidR="00B702EA" w:rsidRPr="002036FE">
        <w:rPr>
          <w:rFonts w:ascii="Arial" w:hAnsi="Arial" w:cs="Arial"/>
          <w:sz w:val="21"/>
          <w:szCs w:val="21"/>
        </w:rPr>
        <w:t>strand</w:t>
      </w:r>
      <w:r w:rsidR="00D90E1B" w:rsidRPr="002036FE">
        <w:rPr>
          <w:rFonts w:ascii="Arial" w:hAnsi="Arial" w:cs="Arial"/>
          <w:sz w:val="21"/>
          <w:szCs w:val="21"/>
        </w:rPr>
        <w:t>s</w:t>
      </w:r>
      <w:r w:rsidR="00B702EA" w:rsidRPr="002036FE">
        <w:rPr>
          <w:rFonts w:ascii="Arial" w:hAnsi="Arial" w:cs="Arial"/>
          <w:sz w:val="21"/>
          <w:szCs w:val="21"/>
        </w:rPr>
        <w:t xml:space="preserve"> </w:t>
      </w:r>
      <w:r w:rsidR="00D90E1B" w:rsidRPr="002036FE">
        <w:rPr>
          <w:rFonts w:ascii="Arial" w:hAnsi="Arial" w:cs="Arial"/>
          <w:sz w:val="21"/>
          <w:szCs w:val="21"/>
        </w:rPr>
        <w:t xml:space="preserve">of the East Anatolian Fault Zone stand out as </w:t>
      </w:r>
      <w:r w:rsidR="004E794F" w:rsidRPr="002036FE">
        <w:rPr>
          <w:rFonts w:ascii="Arial" w:hAnsi="Arial" w:cs="Arial"/>
          <w:sz w:val="21"/>
          <w:szCs w:val="21"/>
        </w:rPr>
        <w:t>segments that did not host a major earthquake</w:t>
      </w:r>
      <w:r w:rsidR="006A1581" w:rsidRPr="002036FE">
        <w:rPr>
          <w:rFonts w:ascii="Arial" w:hAnsi="Arial" w:cs="Arial"/>
          <w:sz w:val="21"/>
          <w:szCs w:val="21"/>
        </w:rPr>
        <w:t xml:space="preserve"> from 1800 through 2022. </w:t>
      </w:r>
      <w:r w:rsidR="007140F0">
        <w:rPr>
          <w:rFonts w:ascii="Arial" w:hAnsi="Arial" w:cs="Arial"/>
          <w:sz w:val="21"/>
          <w:szCs w:val="21"/>
        </w:rPr>
        <w:t>E</w:t>
      </w:r>
      <w:r w:rsidR="006A1581" w:rsidRPr="002036FE">
        <w:rPr>
          <w:rFonts w:ascii="Arial" w:hAnsi="Arial" w:cs="Arial"/>
          <w:sz w:val="21"/>
          <w:szCs w:val="21"/>
        </w:rPr>
        <w:t xml:space="preserve">arlier historic records </w:t>
      </w:r>
      <w:r w:rsidR="009902D5">
        <w:rPr>
          <w:rFonts w:ascii="Arial" w:hAnsi="Arial" w:cs="Arial"/>
          <w:sz w:val="21"/>
          <w:szCs w:val="21"/>
        </w:rPr>
        <w:t>suggest</w:t>
      </w:r>
      <w:r w:rsidR="007140F0">
        <w:rPr>
          <w:rFonts w:ascii="Arial" w:hAnsi="Arial" w:cs="Arial"/>
          <w:sz w:val="21"/>
          <w:szCs w:val="21"/>
        </w:rPr>
        <w:t xml:space="preserve"> </w:t>
      </w:r>
      <w:r w:rsidR="006A1581" w:rsidRPr="002036FE">
        <w:rPr>
          <w:rFonts w:ascii="Arial" w:hAnsi="Arial" w:cs="Arial"/>
          <w:sz w:val="21"/>
          <w:szCs w:val="21"/>
        </w:rPr>
        <w:t xml:space="preserve">the </w:t>
      </w:r>
      <w:r w:rsidR="00656C7F">
        <w:rPr>
          <w:rFonts w:ascii="Arial" w:hAnsi="Arial" w:cs="Arial"/>
          <w:sz w:val="21"/>
          <w:szCs w:val="21"/>
        </w:rPr>
        <w:t>N</w:t>
      </w:r>
      <w:r w:rsidR="006A1581" w:rsidRPr="002036FE">
        <w:rPr>
          <w:rFonts w:ascii="Arial" w:hAnsi="Arial" w:cs="Arial"/>
          <w:sz w:val="21"/>
          <w:szCs w:val="21"/>
        </w:rPr>
        <w:t xml:space="preserve">orthern </w:t>
      </w:r>
      <w:r w:rsidR="00656C7F">
        <w:rPr>
          <w:rFonts w:ascii="Arial" w:hAnsi="Arial" w:cs="Arial"/>
          <w:sz w:val="21"/>
          <w:szCs w:val="21"/>
        </w:rPr>
        <w:t>S</w:t>
      </w:r>
      <w:r w:rsidR="006A1581" w:rsidRPr="002036FE">
        <w:rPr>
          <w:rFonts w:ascii="Arial" w:hAnsi="Arial" w:cs="Arial"/>
          <w:sz w:val="21"/>
          <w:szCs w:val="21"/>
        </w:rPr>
        <w:t xml:space="preserve">trand experienced a major earthquake </w:t>
      </w:r>
      <w:r w:rsidR="00CA7522">
        <w:rPr>
          <w:rFonts w:ascii="Arial" w:hAnsi="Arial" w:cs="Arial"/>
          <w:sz w:val="21"/>
          <w:szCs w:val="21"/>
        </w:rPr>
        <w:t>in</w:t>
      </w:r>
      <w:r w:rsidR="00CA7522" w:rsidRPr="002036FE">
        <w:rPr>
          <w:rFonts w:ascii="Arial" w:hAnsi="Arial" w:cs="Arial"/>
          <w:sz w:val="21"/>
          <w:szCs w:val="21"/>
        </w:rPr>
        <w:t xml:space="preserve"> </w:t>
      </w:r>
      <w:r w:rsidR="006A1581" w:rsidRPr="002036FE">
        <w:rPr>
          <w:rFonts w:ascii="Arial" w:hAnsi="Arial" w:cs="Arial"/>
          <w:sz w:val="21"/>
          <w:szCs w:val="21"/>
        </w:rPr>
        <w:t xml:space="preserve">1544. </w:t>
      </w:r>
      <w:r w:rsidR="007140F0">
        <w:rPr>
          <w:rFonts w:ascii="Arial" w:hAnsi="Arial" w:cs="Arial"/>
          <w:sz w:val="21"/>
          <w:szCs w:val="21"/>
        </w:rPr>
        <w:t xml:space="preserve">And </w:t>
      </w:r>
      <w:r w:rsidR="0053334C">
        <w:rPr>
          <w:rFonts w:ascii="Arial" w:hAnsi="Arial" w:cs="Arial"/>
          <w:sz w:val="21"/>
          <w:szCs w:val="21"/>
        </w:rPr>
        <w:t>major earthquakes occurred on</w:t>
      </w:r>
      <w:r w:rsidR="00DC6BF9">
        <w:rPr>
          <w:rFonts w:ascii="Arial" w:hAnsi="Arial" w:cs="Arial"/>
          <w:sz w:val="21"/>
          <w:szCs w:val="21"/>
        </w:rPr>
        <w:t xml:space="preserve"> </w:t>
      </w:r>
      <w:r w:rsidR="006A1581" w:rsidRPr="002036FE">
        <w:rPr>
          <w:rFonts w:ascii="Arial" w:hAnsi="Arial" w:cs="Arial"/>
          <w:sz w:val="21"/>
          <w:szCs w:val="21"/>
        </w:rPr>
        <w:t xml:space="preserve">the </w:t>
      </w:r>
      <w:r w:rsidR="00656C7F">
        <w:rPr>
          <w:rFonts w:ascii="Arial" w:hAnsi="Arial" w:cs="Arial"/>
          <w:sz w:val="21"/>
          <w:szCs w:val="21"/>
        </w:rPr>
        <w:t>S</w:t>
      </w:r>
      <w:r w:rsidR="006A1581" w:rsidRPr="002036FE">
        <w:rPr>
          <w:rFonts w:ascii="Arial" w:hAnsi="Arial" w:cs="Arial"/>
          <w:sz w:val="21"/>
          <w:szCs w:val="21"/>
        </w:rPr>
        <w:t xml:space="preserve">outhern </w:t>
      </w:r>
      <w:r w:rsidR="00656C7F">
        <w:rPr>
          <w:rFonts w:ascii="Arial" w:hAnsi="Arial" w:cs="Arial"/>
          <w:sz w:val="21"/>
          <w:szCs w:val="21"/>
        </w:rPr>
        <w:t>S</w:t>
      </w:r>
      <w:r w:rsidR="006A1581" w:rsidRPr="002036FE">
        <w:rPr>
          <w:rFonts w:ascii="Arial" w:hAnsi="Arial" w:cs="Arial"/>
          <w:sz w:val="21"/>
          <w:szCs w:val="21"/>
        </w:rPr>
        <w:t>trand</w:t>
      </w:r>
      <w:r w:rsidR="0053334C">
        <w:rPr>
          <w:rFonts w:ascii="Arial" w:hAnsi="Arial" w:cs="Arial"/>
          <w:sz w:val="21"/>
          <w:szCs w:val="21"/>
        </w:rPr>
        <w:t xml:space="preserve"> in </w:t>
      </w:r>
      <w:r w:rsidR="006A1581" w:rsidRPr="002036FE">
        <w:rPr>
          <w:rFonts w:ascii="Arial" w:hAnsi="Arial" w:cs="Arial"/>
          <w:sz w:val="21"/>
          <w:szCs w:val="21"/>
        </w:rPr>
        <w:t xml:space="preserve">1513 </w:t>
      </w:r>
      <w:r w:rsidR="0053334C">
        <w:rPr>
          <w:rFonts w:ascii="Arial" w:hAnsi="Arial" w:cs="Arial"/>
          <w:sz w:val="21"/>
          <w:szCs w:val="21"/>
        </w:rPr>
        <w:t xml:space="preserve">and </w:t>
      </w:r>
      <w:r w:rsidR="006A1581" w:rsidRPr="002036FE">
        <w:rPr>
          <w:rFonts w:ascii="Arial" w:hAnsi="Arial" w:cs="Arial"/>
          <w:sz w:val="21"/>
          <w:szCs w:val="21"/>
        </w:rPr>
        <w:t xml:space="preserve">521. </w:t>
      </w:r>
      <w:r w:rsidR="009055F7" w:rsidRPr="002036FE">
        <w:rPr>
          <w:rFonts w:ascii="Arial" w:hAnsi="Arial" w:cs="Arial"/>
          <w:sz w:val="21"/>
          <w:szCs w:val="21"/>
        </w:rPr>
        <w:t>Indeed,</w:t>
      </w:r>
      <w:r w:rsidR="00795FEA" w:rsidRPr="002036FE">
        <w:rPr>
          <w:rFonts w:ascii="Arial" w:hAnsi="Arial" w:cs="Arial"/>
          <w:sz w:val="21"/>
          <w:szCs w:val="21"/>
        </w:rPr>
        <w:t xml:space="preserve"> e</w:t>
      </w:r>
      <w:r w:rsidR="00864A0F" w:rsidRPr="002036FE">
        <w:rPr>
          <w:rFonts w:ascii="Arial" w:hAnsi="Arial" w:cs="Arial"/>
          <w:sz w:val="21"/>
          <w:szCs w:val="21"/>
        </w:rPr>
        <w:t>arthquake scientists have</w:t>
      </w:r>
      <w:r w:rsidR="00224041" w:rsidRPr="002036FE">
        <w:rPr>
          <w:rFonts w:ascii="Arial" w:hAnsi="Arial" w:cs="Arial"/>
          <w:sz w:val="21"/>
          <w:szCs w:val="21"/>
        </w:rPr>
        <w:t xml:space="preserve">, for several decades, forecast a major earthquake on the </w:t>
      </w:r>
      <w:r w:rsidR="00656C7F">
        <w:rPr>
          <w:rFonts w:ascii="Arial" w:hAnsi="Arial" w:cs="Arial"/>
          <w:sz w:val="21"/>
          <w:szCs w:val="21"/>
        </w:rPr>
        <w:t>S</w:t>
      </w:r>
      <w:r w:rsidR="00224041" w:rsidRPr="002036FE">
        <w:rPr>
          <w:rFonts w:ascii="Arial" w:hAnsi="Arial" w:cs="Arial"/>
          <w:sz w:val="21"/>
          <w:szCs w:val="21"/>
        </w:rPr>
        <w:t xml:space="preserve">outhern </w:t>
      </w:r>
      <w:r w:rsidR="00656C7F">
        <w:rPr>
          <w:rFonts w:ascii="Arial" w:hAnsi="Arial" w:cs="Arial"/>
          <w:sz w:val="21"/>
          <w:szCs w:val="21"/>
        </w:rPr>
        <w:t>S</w:t>
      </w:r>
      <w:r w:rsidR="00224041" w:rsidRPr="002036FE">
        <w:rPr>
          <w:rFonts w:ascii="Arial" w:hAnsi="Arial" w:cs="Arial"/>
          <w:sz w:val="21"/>
          <w:szCs w:val="21"/>
        </w:rPr>
        <w:t>trand</w:t>
      </w:r>
      <w:r w:rsidR="009055F7" w:rsidRPr="002036FE">
        <w:rPr>
          <w:rFonts w:ascii="Arial" w:hAnsi="Arial" w:cs="Arial"/>
          <w:sz w:val="21"/>
          <w:szCs w:val="21"/>
        </w:rPr>
        <w:t xml:space="preserve"> </w:t>
      </w:r>
      <w:r w:rsidR="00280518">
        <w:rPr>
          <w:rFonts w:ascii="Arial" w:hAnsi="Arial" w:cs="Arial"/>
          <w:sz w:val="21"/>
          <w:szCs w:val="21"/>
        </w:rPr>
        <w:t>of the East Anatolian Fault Zone</w:t>
      </w:r>
      <w:r w:rsidR="007002AF" w:rsidRPr="002036FE">
        <w:rPr>
          <w:rFonts w:ascii="Arial" w:hAnsi="Arial" w:cs="Arial"/>
          <w:sz w:val="21"/>
          <w:szCs w:val="21"/>
        </w:rPr>
        <w:t xml:space="preserve">. </w:t>
      </w:r>
      <w:r w:rsidR="0044171C" w:rsidRPr="002036FE">
        <w:rPr>
          <w:rFonts w:ascii="Arial" w:hAnsi="Arial" w:cs="Arial"/>
          <w:sz w:val="21"/>
          <w:szCs w:val="21"/>
        </w:rPr>
        <w:t xml:space="preserve">So, the major earthquakes of February 6, </w:t>
      </w:r>
      <w:proofErr w:type="gramStart"/>
      <w:r w:rsidR="0044171C" w:rsidRPr="002036FE">
        <w:rPr>
          <w:rFonts w:ascii="Arial" w:hAnsi="Arial" w:cs="Arial"/>
          <w:sz w:val="21"/>
          <w:szCs w:val="21"/>
        </w:rPr>
        <w:t>2023</w:t>
      </w:r>
      <w:proofErr w:type="gramEnd"/>
      <w:r w:rsidR="0044171C" w:rsidRPr="002036FE">
        <w:rPr>
          <w:rFonts w:ascii="Arial" w:hAnsi="Arial" w:cs="Arial"/>
          <w:sz w:val="21"/>
          <w:szCs w:val="21"/>
        </w:rPr>
        <w:t xml:space="preserve"> were not </w:t>
      </w:r>
      <w:r w:rsidR="00B06180" w:rsidRPr="002036FE">
        <w:rPr>
          <w:rFonts w:ascii="Arial" w:hAnsi="Arial" w:cs="Arial"/>
          <w:sz w:val="21"/>
          <w:szCs w:val="21"/>
        </w:rPr>
        <w:t>a surp</w:t>
      </w:r>
      <w:r w:rsidR="002036FE">
        <w:rPr>
          <w:rFonts w:ascii="Arial" w:hAnsi="Arial" w:cs="Arial"/>
          <w:sz w:val="21"/>
          <w:szCs w:val="21"/>
        </w:rPr>
        <w:t>r</w:t>
      </w:r>
      <w:r w:rsidR="00B06180" w:rsidRPr="002036FE">
        <w:rPr>
          <w:rFonts w:ascii="Arial" w:hAnsi="Arial" w:cs="Arial"/>
          <w:sz w:val="21"/>
          <w:szCs w:val="21"/>
        </w:rPr>
        <w:t>ise</w:t>
      </w:r>
      <w:r w:rsidR="002036FE">
        <w:rPr>
          <w:rFonts w:ascii="Arial" w:hAnsi="Arial" w:cs="Arial"/>
          <w:sz w:val="21"/>
          <w:szCs w:val="21"/>
        </w:rPr>
        <w:t>.</w:t>
      </w:r>
    </w:p>
    <w:p w14:paraId="177A6163" w14:textId="77777777" w:rsidR="006A52E5" w:rsidRPr="00977F80" w:rsidRDefault="006A52E5" w:rsidP="006A52E5">
      <w:pPr>
        <w:spacing w:line="120" w:lineRule="exact"/>
        <w:rPr>
          <w:rFonts w:ascii="Arial" w:hAnsi="Arial" w:cs="Arial"/>
          <w:sz w:val="21"/>
          <w:szCs w:val="21"/>
        </w:rPr>
      </w:pPr>
    </w:p>
    <w:p w14:paraId="62B1E6D9" w14:textId="77777777" w:rsidR="006E478C" w:rsidRDefault="00E375DB">
      <w:pPr>
        <w:rPr>
          <w:rFonts w:ascii="Arial" w:hAnsi="Arial" w:cs="Arial"/>
          <w:sz w:val="21"/>
          <w:szCs w:val="21"/>
        </w:rPr>
      </w:pPr>
      <w:r w:rsidRPr="00E375DB">
        <w:rPr>
          <w:rFonts w:ascii="Arial" w:hAnsi="Arial" w:cs="Arial"/>
          <w:sz w:val="21"/>
          <w:szCs w:val="21"/>
        </w:rPr>
        <w:t xml:space="preserve">On February 6, 2023, earthquake rupture started on a strand of the Dead Sea Transform, reached the southern strand of the </w:t>
      </w:r>
      <w:r w:rsidR="00D11A51" w:rsidRPr="002036FE">
        <w:rPr>
          <w:rFonts w:ascii="Arial" w:hAnsi="Arial" w:cs="Arial"/>
          <w:sz w:val="21"/>
          <w:szCs w:val="21"/>
        </w:rPr>
        <w:t xml:space="preserve">East Anatolian Fault Zone </w:t>
      </w:r>
      <w:r w:rsidRPr="00E375DB">
        <w:rPr>
          <w:rFonts w:ascii="Arial" w:hAnsi="Arial" w:cs="Arial"/>
          <w:sz w:val="21"/>
          <w:szCs w:val="21"/>
        </w:rPr>
        <w:t xml:space="preserve">in 10 seconds, then for 80 seconds spread </w:t>
      </w:r>
      <w:r w:rsidR="00D11A51">
        <w:rPr>
          <w:rFonts w:ascii="Arial" w:hAnsi="Arial" w:cs="Arial"/>
          <w:sz w:val="21"/>
          <w:szCs w:val="21"/>
        </w:rPr>
        <w:t>northeast</w:t>
      </w:r>
      <w:r w:rsidRPr="00E375DB">
        <w:rPr>
          <w:rFonts w:ascii="Arial" w:hAnsi="Arial" w:cs="Arial"/>
          <w:sz w:val="21"/>
          <w:szCs w:val="21"/>
        </w:rPr>
        <w:t xml:space="preserve"> and </w:t>
      </w:r>
      <w:r w:rsidR="00D11A51">
        <w:rPr>
          <w:rFonts w:ascii="Arial" w:hAnsi="Arial" w:cs="Arial"/>
          <w:sz w:val="21"/>
          <w:szCs w:val="21"/>
        </w:rPr>
        <w:t>southwest</w:t>
      </w:r>
      <w:r w:rsidRPr="00E375DB">
        <w:rPr>
          <w:rFonts w:ascii="Arial" w:hAnsi="Arial" w:cs="Arial"/>
          <w:sz w:val="21"/>
          <w:szCs w:val="21"/>
        </w:rPr>
        <w:t xml:space="preserve"> for a total length of 350 km with peak slip over 8 meters. This </w:t>
      </w:r>
      <w:r w:rsidR="00974DA2" w:rsidRPr="00E375DB">
        <w:rPr>
          <w:rFonts w:ascii="Arial" w:hAnsi="Arial" w:cs="Arial"/>
          <w:sz w:val="21"/>
          <w:szCs w:val="21"/>
        </w:rPr>
        <w:t xml:space="preserve">moment magnitude 7.8 </w:t>
      </w:r>
      <w:r w:rsidRPr="00E375DB">
        <w:rPr>
          <w:rFonts w:ascii="Arial" w:hAnsi="Arial" w:cs="Arial"/>
          <w:sz w:val="21"/>
          <w:szCs w:val="21"/>
        </w:rPr>
        <w:t xml:space="preserve">earthquake ruptured across multiple fault segments displaced by historic earthquakes to become </w:t>
      </w:r>
      <w:r w:rsidR="00974DA2">
        <w:rPr>
          <w:rFonts w:ascii="Arial" w:hAnsi="Arial" w:cs="Arial"/>
          <w:sz w:val="21"/>
          <w:szCs w:val="21"/>
        </w:rPr>
        <w:t xml:space="preserve">the </w:t>
      </w:r>
      <w:r w:rsidRPr="00E375DB">
        <w:rPr>
          <w:rFonts w:ascii="Arial" w:hAnsi="Arial" w:cs="Arial"/>
          <w:sz w:val="21"/>
          <w:szCs w:val="21"/>
        </w:rPr>
        <w:t xml:space="preserve">strongest in Turkey in more than 80 years. The M7.8 earthquake decreased stress along </w:t>
      </w:r>
      <w:r w:rsidRPr="00E375DB">
        <w:rPr>
          <w:rFonts w:ascii="Arial" w:hAnsi="Arial" w:cs="Arial"/>
          <w:b/>
          <w:bCs/>
          <w:sz w:val="21"/>
          <w:szCs w:val="21"/>
        </w:rPr>
        <w:t>its</w:t>
      </w:r>
      <w:r w:rsidRPr="00E375DB">
        <w:rPr>
          <w:rFonts w:ascii="Arial" w:hAnsi="Arial" w:cs="Arial"/>
          <w:sz w:val="21"/>
          <w:szCs w:val="21"/>
        </w:rPr>
        <w:t xml:space="preserve"> rupture zone but increased stress on the </w:t>
      </w:r>
      <w:r w:rsidR="00FE6478">
        <w:rPr>
          <w:rFonts w:ascii="Arial" w:hAnsi="Arial" w:cs="Arial"/>
          <w:sz w:val="21"/>
          <w:szCs w:val="21"/>
        </w:rPr>
        <w:t>N</w:t>
      </w:r>
      <w:r w:rsidRPr="00E375DB">
        <w:rPr>
          <w:rFonts w:ascii="Arial" w:hAnsi="Arial" w:cs="Arial"/>
          <w:sz w:val="21"/>
          <w:szCs w:val="21"/>
        </w:rPr>
        <w:t xml:space="preserve">orthern </w:t>
      </w:r>
      <w:r w:rsidR="00FE6478">
        <w:rPr>
          <w:rFonts w:ascii="Arial" w:hAnsi="Arial" w:cs="Arial"/>
          <w:sz w:val="21"/>
          <w:szCs w:val="21"/>
        </w:rPr>
        <w:t>S</w:t>
      </w:r>
      <w:r w:rsidRPr="00E375DB">
        <w:rPr>
          <w:rFonts w:ascii="Arial" w:hAnsi="Arial" w:cs="Arial"/>
          <w:sz w:val="21"/>
          <w:szCs w:val="21"/>
        </w:rPr>
        <w:t xml:space="preserve">trand. Nine hours later, a magnitude 7.6 earthquake ruptured a 160-km-long segment of the </w:t>
      </w:r>
      <w:r w:rsidR="00FE6478">
        <w:rPr>
          <w:rFonts w:ascii="Arial" w:hAnsi="Arial" w:cs="Arial"/>
          <w:sz w:val="21"/>
          <w:szCs w:val="21"/>
        </w:rPr>
        <w:t>N</w:t>
      </w:r>
      <w:r w:rsidRPr="00E375DB">
        <w:rPr>
          <w:rFonts w:ascii="Arial" w:hAnsi="Arial" w:cs="Arial"/>
          <w:sz w:val="21"/>
          <w:szCs w:val="21"/>
        </w:rPr>
        <w:t xml:space="preserve">orthern </w:t>
      </w:r>
      <w:r w:rsidR="00FE6478">
        <w:rPr>
          <w:rFonts w:ascii="Arial" w:hAnsi="Arial" w:cs="Arial"/>
          <w:sz w:val="21"/>
          <w:szCs w:val="21"/>
        </w:rPr>
        <w:t>S</w:t>
      </w:r>
      <w:r w:rsidRPr="00E375DB">
        <w:rPr>
          <w:rFonts w:ascii="Arial" w:hAnsi="Arial" w:cs="Arial"/>
          <w:sz w:val="21"/>
          <w:szCs w:val="21"/>
        </w:rPr>
        <w:t xml:space="preserve">trand in 40 seconds producing peak slip of 10 meters. These </w:t>
      </w:r>
      <w:proofErr w:type="spellStart"/>
      <w:r w:rsidRPr="00E375DB">
        <w:rPr>
          <w:rFonts w:ascii="Arial" w:hAnsi="Arial" w:cs="Arial"/>
          <w:sz w:val="21"/>
          <w:szCs w:val="21"/>
        </w:rPr>
        <w:t>Kahramanmaraş</w:t>
      </w:r>
      <w:proofErr w:type="spellEnd"/>
      <w:r w:rsidRPr="00E375DB">
        <w:rPr>
          <w:rFonts w:ascii="Arial" w:hAnsi="Arial" w:cs="Arial"/>
          <w:sz w:val="21"/>
          <w:szCs w:val="21"/>
        </w:rPr>
        <w:t xml:space="preserve"> earthquakes are the first great earthquake doublet with a combined moment magnitude of 8.0 recorded on a continental strike-slip fault system. The footprint of ground-shaking intensities from the two earthquakes on cities and towns of the region indicates over 8 million </w:t>
      </w:r>
      <w:r w:rsidR="00D11A51">
        <w:rPr>
          <w:rFonts w:ascii="Arial" w:hAnsi="Arial" w:cs="Arial"/>
          <w:sz w:val="21"/>
          <w:szCs w:val="21"/>
        </w:rPr>
        <w:t xml:space="preserve">people </w:t>
      </w:r>
      <w:r w:rsidRPr="00E375DB">
        <w:rPr>
          <w:rFonts w:ascii="Arial" w:hAnsi="Arial" w:cs="Arial"/>
          <w:sz w:val="21"/>
          <w:szCs w:val="21"/>
        </w:rPr>
        <w:t xml:space="preserve">experienced very strong, 2.1 million felt severe, and nearly a million people endured violent ground shaking. Impacts on southeastern Turkey and war-torn northwestern Syria were enormous. Over 300,000 buildings in Turkey were heavily damaged or collapsed and over 9,000 buildings in Syria collapsed. The resulting death toll was nearly 60,000 making the </w:t>
      </w:r>
      <w:proofErr w:type="spellStart"/>
      <w:r w:rsidRPr="00E375DB">
        <w:rPr>
          <w:rFonts w:ascii="Arial" w:hAnsi="Arial" w:cs="Arial"/>
          <w:sz w:val="21"/>
          <w:szCs w:val="21"/>
        </w:rPr>
        <w:t>Kahramanmaraş</w:t>
      </w:r>
      <w:proofErr w:type="spellEnd"/>
      <w:r w:rsidRPr="00E375DB">
        <w:rPr>
          <w:rFonts w:ascii="Arial" w:hAnsi="Arial" w:cs="Arial"/>
          <w:sz w:val="21"/>
          <w:szCs w:val="21"/>
        </w:rPr>
        <w:t xml:space="preserve"> earthquakes the </w:t>
      </w:r>
      <w:proofErr w:type="gramStart"/>
      <w:r w:rsidRPr="00E375DB">
        <w:rPr>
          <w:rFonts w:ascii="Arial" w:hAnsi="Arial" w:cs="Arial"/>
          <w:sz w:val="21"/>
          <w:szCs w:val="21"/>
        </w:rPr>
        <w:t>fifth-deadliest</w:t>
      </w:r>
      <w:proofErr w:type="gramEnd"/>
      <w:r w:rsidRPr="00E375DB">
        <w:rPr>
          <w:rFonts w:ascii="Arial" w:hAnsi="Arial" w:cs="Arial"/>
          <w:sz w:val="21"/>
          <w:szCs w:val="21"/>
        </w:rPr>
        <w:t xml:space="preserve"> of the 21</w:t>
      </w:r>
      <w:r w:rsidRPr="00E375DB">
        <w:rPr>
          <w:rFonts w:ascii="Arial" w:hAnsi="Arial" w:cs="Arial"/>
          <w:sz w:val="21"/>
          <w:szCs w:val="21"/>
          <w:vertAlign w:val="superscript"/>
        </w:rPr>
        <w:t>st</w:t>
      </w:r>
      <w:r w:rsidRPr="00E375DB">
        <w:rPr>
          <w:rFonts w:ascii="Arial" w:hAnsi="Arial" w:cs="Arial"/>
          <w:sz w:val="21"/>
          <w:szCs w:val="21"/>
        </w:rPr>
        <w:t xml:space="preserve"> century. In the face of such destruction and human tragedy, it can be difficult to appreciate the successes of earthquake engineering and improved construction practices. But, of the 20,000 school buildings in the affected area built to </w:t>
      </w:r>
      <w:proofErr w:type="spellStart"/>
      <w:r w:rsidRPr="00E375DB">
        <w:rPr>
          <w:rFonts w:ascii="Arial" w:hAnsi="Arial" w:cs="Arial"/>
          <w:color w:val="000000"/>
          <w:sz w:val="21"/>
          <w:szCs w:val="21"/>
          <w:shd w:val="clear" w:color="auto" w:fill="FFFFFF"/>
        </w:rPr>
        <w:t>Türkiye’s</w:t>
      </w:r>
      <w:proofErr w:type="spellEnd"/>
      <w:r w:rsidRPr="00E375DB">
        <w:rPr>
          <w:rFonts w:ascii="Arial" w:hAnsi="Arial" w:cs="Arial"/>
          <w:color w:val="000000"/>
          <w:sz w:val="21"/>
          <w:szCs w:val="21"/>
          <w:shd w:val="clear" w:color="auto" w:fill="FFFFFF"/>
        </w:rPr>
        <w:t xml:space="preserve"> 2018 seismic code,</w:t>
      </w:r>
      <w:r w:rsidRPr="00E375DB">
        <w:rPr>
          <w:rFonts w:ascii="Arial" w:hAnsi="Arial" w:cs="Arial"/>
          <w:sz w:val="21"/>
          <w:szCs w:val="21"/>
        </w:rPr>
        <w:t xml:space="preserve"> only 5% collapsed or were severely damaged. Modern hospitals</w:t>
      </w:r>
      <w:r w:rsidR="006C74B4">
        <w:rPr>
          <w:rFonts w:ascii="Arial" w:hAnsi="Arial" w:cs="Arial"/>
          <w:sz w:val="21"/>
          <w:szCs w:val="21"/>
        </w:rPr>
        <w:t xml:space="preserve"> also </w:t>
      </w:r>
      <w:r w:rsidRPr="00E375DB">
        <w:rPr>
          <w:rFonts w:ascii="Arial" w:hAnsi="Arial" w:cs="Arial"/>
          <w:sz w:val="21"/>
          <w:szCs w:val="21"/>
        </w:rPr>
        <w:t xml:space="preserve">performed well and were functioning to care for </w:t>
      </w:r>
      <w:r w:rsidR="00D11A51">
        <w:rPr>
          <w:rFonts w:ascii="Arial" w:hAnsi="Arial" w:cs="Arial"/>
          <w:sz w:val="21"/>
          <w:szCs w:val="21"/>
        </w:rPr>
        <w:t xml:space="preserve">the </w:t>
      </w:r>
      <w:r w:rsidRPr="00E375DB">
        <w:rPr>
          <w:rFonts w:ascii="Arial" w:hAnsi="Arial" w:cs="Arial"/>
          <w:sz w:val="21"/>
          <w:szCs w:val="21"/>
        </w:rPr>
        <w:t>more than 100,000 people injured.</w:t>
      </w:r>
      <w:r w:rsidR="006E478C">
        <w:rPr>
          <w:rFonts w:ascii="Arial" w:hAnsi="Arial" w:cs="Arial"/>
          <w:sz w:val="21"/>
          <w:szCs w:val="21"/>
        </w:rPr>
        <w:t xml:space="preserve"> </w:t>
      </w:r>
    </w:p>
    <w:p w14:paraId="00ADF11A" w14:textId="77777777" w:rsidR="0085185A" w:rsidRPr="00977F80" w:rsidRDefault="0085185A" w:rsidP="0085185A">
      <w:pPr>
        <w:spacing w:line="120" w:lineRule="exact"/>
        <w:rPr>
          <w:rFonts w:ascii="Arial" w:hAnsi="Arial" w:cs="Arial"/>
          <w:sz w:val="21"/>
          <w:szCs w:val="21"/>
        </w:rPr>
      </w:pPr>
    </w:p>
    <w:p w14:paraId="331F7E83" w14:textId="48CB7979" w:rsidR="00A42775" w:rsidRPr="00E375DB" w:rsidRDefault="00A42775">
      <w:pPr>
        <w:rPr>
          <w:rFonts w:ascii="Arial" w:hAnsi="Arial" w:cs="Arial"/>
          <w:sz w:val="21"/>
          <w:szCs w:val="21"/>
        </w:rPr>
      </w:pPr>
      <w:r>
        <w:rPr>
          <w:rFonts w:ascii="Arial" w:hAnsi="Arial" w:cs="Arial"/>
          <w:sz w:val="21"/>
          <w:szCs w:val="21"/>
        </w:rPr>
        <w:t xml:space="preserve">Through this exploration of earthquakes in </w:t>
      </w:r>
      <w:proofErr w:type="spellStart"/>
      <w:r w:rsidR="00A64BAE" w:rsidRPr="00C67A02">
        <w:rPr>
          <w:rFonts w:ascii="Arial" w:hAnsi="Arial" w:cs="Arial"/>
          <w:color w:val="000000"/>
          <w:sz w:val="21"/>
          <w:szCs w:val="21"/>
        </w:rPr>
        <w:t>Türkiye</w:t>
      </w:r>
      <w:proofErr w:type="spellEnd"/>
      <w:r>
        <w:rPr>
          <w:rFonts w:ascii="Arial" w:hAnsi="Arial" w:cs="Arial"/>
          <w:sz w:val="21"/>
          <w:szCs w:val="21"/>
        </w:rPr>
        <w:t xml:space="preserve">, we learned how </w:t>
      </w:r>
      <w:r w:rsidR="006E478C">
        <w:rPr>
          <w:rFonts w:ascii="Arial" w:hAnsi="Arial" w:cs="Arial"/>
          <w:sz w:val="21"/>
          <w:szCs w:val="21"/>
        </w:rPr>
        <w:t>one earthquake can change stress and increas</w:t>
      </w:r>
      <w:r>
        <w:rPr>
          <w:rFonts w:ascii="Arial" w:hAnsi="Arial" w:cs="Arial"/>
          <w:sz w:val="21"/>
          <w:szCs w:val="21"/>
        </w:rPr>
        <w:t>e</w:t>
      </w:r>
      <w:r w:rsidR="006E478C">
        <w:rPr>
          <w:rFonts w:ascii="Arial" w:hAnsi="Arial" w:cs="Arial"/>
          <w:sz w:val="21"/>
          <w:szCs w:val="21"/>
        </w:rPr>
        <w:t xml:space="preserve"> the likelihood of an earthquake on a nearby fault. That interaction </w:t>
      </w:r>
      <w:r w:rsidR="00A64BAE">
        <w:rPr>
          <w:rFonts w:ascii="Arial" w:hAnsi="Arial" w:cs="Arial"/>
          <w:sz w:val="21"/>
          <w:szCs w:val="21"/>
        </w:rPr>
        <w:t xml:space="preserve">is important for earthquake forecasts and often </w:t>
      </w:r>
      <w:r w:rsidR="006E478C">
        <w:rPr>
          <w:rFonts w:ascii="Arial" w:hAnsi="Arial" w:cs="Arial"/>
          <w:sz w:val="21"/>
          <w:szCs w:val="21"/>
        </w:rPr>
        <w:t>operate</w:t>
      </w:r>
      <w:r w:rsidR="00A64BAE">
        <w:rPr>
          <w:rFonts w:ascii="Arial" w:hAnsi="Arial" w:cs="Arial"/>
          <w:sz w:val="21"/>
          <w:szCs w:val="21"/>
        </w:rPr>
        <w:t>s</w:t>
      </w:r>
      <w:r w:rsidR="006E478C">
        <w:rPr>
          <w:rFonts w:ascii="Arial" w:hAnsi="Arial" w:cs="Arial"/>
          <w:sz w:val="21"/>
          <w:szCs w:val="21"/>
        </w:rPr>
        <w:t xml:space="preserve"> over years or decades</w:t>
      </w:r>
      <w:r>
        <w:rPr>
          <w:rFonts w:ascii="Arial" w:hAnsi="Arial" w:cs="Arial"/>
          <w:sz w:val="21"/>
          <w:szCs w:val="21"/>
        </w:rPr>
        <w:t>.</w:t>
      </w:r>
      <w:r w:rsidR="006E478C">
        <w:rPr>
          <w:rFonts w:ascii="Arial" w:hAnsi="Arial" w:cs="Arial"/>
          <w:sz w:val="21"/>
          <w:szCs w:val="21"/>
        </w:rPr>
        <w:t xml:space="preserve"> </w:t>
      </w:r>
      <w:r>
        <w:rPr>
          <w:rFonts w:ascii="Arial" w:hAnsi="Arial" w:cs="Arial"/>
          <w:sz w:val="21"/>
          <w:szCs w:val="21"/>
        </w:rPr>
        <w:t>B</w:t>
      </w:r>
      <w:r w:rsidR="006E478C">
        <w:rPr>
          <w:rFonts w:ascii="Arial" w:hAnsi="Arial" w:cs="Arial"/>
          <w:sz w:val="21"/>
          <w:szCs w:val="21"/>
        </w:rPr>
        <w:t xml:space="preserve">ut, as in the February 2023 earthquake doublet, </w:t>
      </w:r>
      <w:r w:rsidR="007E3C80" w:rsidRPr="007E3C80">
        <w:rPr>
          <w:rFonts w:ascii="Arial" w:hAnsi="Arial" w:cs="Arial"/>
          <w:sz w:val="21"/>
          <w:szCs w:val="21"/>
        </w:rPr>
        <w:t>one earthquake can trigger another over a matter of hours or even minutes</w:t>
      </w:r>
      <w:r w:rsidR="006E478C">
        <w:rPr>
          <w:rFonts w:ascii="Arial" w:hAnsi="Arial" w:cs="Arial"/>
          <w:sz w:val="21"/>
          <w:szCs w:val="21"/>
        </w:rPr>
        <w:t>.</w:t>
      </w:r>
    </w:p>
    <w:sectPr w:rsidR="00A42775" w:rsidRPr="00E375DB" w:rsidSect="00564A6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45BEA"/>
    <w:multiLevelType w:val="multilevel"/>
    <w:tmpl w:val="D578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AA"/>
    <w:rsid w:val="00047DC1"/>
    <w:rsid w:val="000575E6"/>
    <w:rsid w:val="00076B42"/>
    <w:rsid w:val="00084E5C"/>
    <w:rsid w:val="00085230"/>
    <w:rsid w:val="00095A6F"/>
    <w:rsid w:val="00097220"/>
    <w:rsid w:val="000F37E5"/>
    <w:rsid w:val="000F6384"/>
    <w:rsid w:val="00101205"/>
    <w:rsid w:val="001310B6"/>
    <w:rsid w:val="001315BF"/>
    <w:rsid w:val="001315DB"/>
    <w:rsid w:val="00136FE5"/>
    <w:rsid w:val="00141533"/>
    <w:rsid w:val="0015573B"/>
    <w:rsid w:val="00177070"/>
    <w:rsid w:val="00196111"/>
    <w:rsid w:val="0019631C"/>
    <w:rsid w:val="001E205A"/>
    <w:rsid w:val="002036FE"/>
    <w:rsid w:val="00221AD3"/>
    <w:rsid w:val="00224041"/>
    <w:rsid w:val="00244E8D"/>
    <w:rsid w:val="00267475"/>
    <w:rsid w:val="00280518"/>
    <w:rsid w:val="00293911"/>
    <w:rsid w:val="002A1262"/>
    <w:rsid w:val="002C2CB6"/>
    <w:rsid w:val="002F1364"/>
    <w:rsid w:val="00330BC8"/>
    <w:rsid w:val="00341A8D"/>
    <w:rsid w:val="00356190"/>
    <w:rsid w:val="003C0BAA"/>
    <w:rsid w:val="003C70D3"/>
    <w:rsid w:val="003D5CAA"/>
    <w:rsid w:val="00404F09"/>
    <w:rsid w:val="0044171C"/>
    <w:rsid w:val="00446326"/>
    <w:rsid w:val="00451B07"/>
    <w:rsid w:val="00485108"/>
    <w:rsid w:val="00491972"/>
    <w:rsid w:val="0049437D"/>
    <w:rsid w:val="004A3FA5"/>
    <w:rsid w:val="004B05A1"/>
    <w:rsid w:val="004C6E2C"/>
    <w:rsid w:val="004E582C"/>
    <w:rsid w:val="004E794F"/>
    <w:rsid w:val="004F7BA0"/>
    <w:rsid w:val="00501559"/>
    <w:rsid w:val="005036A7"/>
    <w:rsid w:val="00511437"/>
    <w:rsid w:val="0053319E"/>
    <w:rsid w:val="0053334C"/>
    <w:rsid w:val="005403C2"/>
    <w:rsid w:val="005464F4"/>
    <w:rsid w:val="00550841"/>
    <w:rsid w:val="00562507"/>
    <w:rsid w:val="00564A6D"/>
    <w:rsid w:val="00572B8F"/>
    <w:rsid w:val="00602893"/>
    <w:rsid w:val="00605F45"/>
    <w:rsid w:val="00610A81"/>
    <w:rsid w:val="0061433D"/>
    <w:rsid w:val="0061784E"/>
    <w:rsid w:val="00625B5D"/>
    <w:rsid w:val="00627386"/>
    <w:rsid w:val="006354BB"/>
    <w:rsid w:val="006518ED"/>
    <w:rsid w:val="0065508A"/>
    <w:rsid w:val="00656C7F"/>
    <w:rsid w:val="0065778F"/>
    <w:rsid w:val="006807D4"/>
    <w:rsid w:val="00683F22"/>
    <w:rsid w:val="00692D70"/>
    <w:rsid w:val="006A0EAC"/>
    <w:rsid w:val="006A1581"/>
    <w:rsid w:val="006A52E5"/>
    <w:rsid w:val="006A6246"/>
    <w:rsid w:val="006A795B"/>
    <w:rsid w:val="006C74B4"/>
    <w:rsid w:val="006E34FD"/>
    <w:rsid w:val="006E384A"/>
    <w:rsid w:val="006E478C"/>
    <w:rsid w:val="006F1DC1"/>
    <w:rsid w:val="007002AF"/>
    <w:rsid w:val="007140F0"/>
    <w:rsid w:val="00714D2E"/>
    <w:rsid w:val="0072116C"/>
    <w:rsid w:val="00725604"/>
    <w:rsid w:val="007731E6"/>
    <w:rsid w:val="00794CFC"/>
    <w:rsid w:val="0079526A"/>
    <w:rsid w:val="00795FEA"/>
    <w:rsid w:val="007970DD"/>
    <w:rsid w:val="007B3A4F"/>
    <w:rsid w:val="007C57A9"/>
    <w:rsid w:val="007E3C80"/>
    <w:rsid w:val="00805D71"/>
    <w:rsid w:val="008064E8"/>
    <w:rsid w:val="00813198"/>
    <w:rsid w:val="00814FD2"/>
    <w:rsid w:val="008429B9"/>
    <w:rsid w:val="00847B9E"/>
    <w:rsid w:val="008503D1"/>
    <w:rsid w:val="0085185A"/>
    <w:rsid w:val="008537FF"/>
    <w:rsid w:val="00853932"/>
    <w:rsid w:val="00862781"/>
    <w:rsid w:val="00864A0F"/>
    <w:rsid w:val="008703FC"/>
    <w:rsid w:val="008949B7"/>
    <w:rsid w:val="008B5C19"/>
    <w:rsid w:val="008C6A5C"/>
    <w:rsid w:val="008E52EB"/>
    <w:rsid w:val="008F5BE9"/>
    <w:rsid w:val="009055F7"/>
    <w:rsid w:val="00906A4F"/>
    <w:rsid w:val="00907890"/>
    <w:rsid w:val="009209DD"/>
    <w:rsid w:val="009239BD"/>
    <w:rsid w:val="0092467E"/>
    <w:rsid w:val="00957D07"/>
    <w:rsid w:val="00974DA2"/>
    <w:rsid w:val="009902D5"/>
    <w:rsid w:val="00996BA4"/>
    <w:rsid w:val="009E2ECB"/>
    <w:rsid w:val="00A33BAA"/>
    <w:rsid w:val="00A40158"/>
    <w:rsid w:val="00A406E0"/>
    <w:rsid w:val="00A42775"/>
    <w:rsid w:val="00A64BAE"/>
    <w:rsid w:val="00A7266A"/>
    <w:rsid w:val="00A7401D"/>
    <w:rsid w:val="00A94240"/>
    <w:rsid w:val="00AA2C64"/>
    <w:rsid w:val="00AA45F8"/>
    <w:rsid w:val="00AA4AF2"/>
    <w:rsid w:val="00AC7EF4"/>
    <w:rsid w:val="00B06180"/>
    <w:rsid w:val="00B12CBF"/>
    <w:rsid w:val="00B17A27"/>
    <w:rsid w:val="00B345CB"/>
    <w:rsid w:val="00B702EA"/>
    <w:rsid w:val="00B77471"/>
    <w:rsid w:val="00B80B28"/>
    <w:rsid w:val="00BB401F"/>
    <w:rsid w:val="00BC6468"/>
    <w:rsid w:val="00BD5AA5"/>
    <w:rsid w:val="00BD787C"/>
    <w:rsid w:val="00BE3D33"/>
    <w:rsid w:val="00BE4655"/>
    <w:rsid w:val="00BF4D3A"/>
    <w:rsid w:val="00C07C0F"/>
    <w:rsid w:val="00C15241"/>
    <w:rsid w:val="00C17877"/>
    <w:rsid w:val="00C326DA"/>
    <w:rsid w:val="00C51AC1"/>
    <w:rsid w:val="00C5504F"/>
    <w:rsid w:val="00C8471D"/>
    <w:rsid w:val="00C911AE"/>
    <w:rsid w:val="00C92D3C"/>
    <w:rsid w:val="00CA7522"/>
    <w:rsid w:val="00CC48C7"/>
    <w:rsid w:val="00CE27EA"/>
    <w:rsid w:val="00CE6275"/>
    <w:rsid w:val="00D05832"/>
    <w:rsid w:val="00D11A51"/>
    <w:rsid w:val="00D2618C"/>
    <w:rsid w:val="00D261AE"/>
    <w:rsid w:val="00D274AE"/>
    <w:rsid w:val="00D511F7"/>
    <w:rsid w:val="00D5535A"/>
    <w:rsid w:val="00D555C6"/>
    <w:rsid w:val="00D64E0B"/>
    <w:rsid w:val="00D71DD3"/>
    <w:rsid w:val="00D769E7"/>
    <w:rsid w:val="00D90E1B"/>
    <w:rsid w:val="00DA73F5"/>
    <w:rsid w:val="00DB1DF0"/>
    <w:rsid w:val="00DC281C"/>
    <w:rsid w:val="00DC6BF9"/>
    <w:rsid w:val="00DD32E5"/>
    <w:rsid w:val="00DD40AF"/>
    <w:rsid w:val="00DD4A66"/>
    <w:rsid w:val="00DD4BC4"/>
    <w:rsid w:val="00DD5F41"/>
    <w:rsid w:val="00DF3D9F"/>
    <w:rsid w:val="00DF6300"/>
    <w:rsid w:val="00DF7444"/>
    <w:rsid w:val="00E1260B"/>
    <w:rsid w:val="00E14876"/>
    <w:rsid w:val="00E23EF6"/>
    <w:rsid w:val="00E36900"/>
    <w:rsid w:val="00E375DB"/>
    <w:rsid w:val="00E40CEB"/>
    <w:rsid w:val="00E456F7"/>
    <w:rsid w:val="00E62C3A"/>
    <w:rsid w:val="00E63953"/>
    <w:rsid w:val="00E724EA"/>
    <w:rsid w:val="00E83206"/>
    <w:rsid w:val="00E8631C"/>
    <w:rsid w:val="00EA3B77"/>
    <w:rsid w:val="00EB0F3D"/>
    <w:rsid w:val="00ED1F7C"/>
    <w:rsid w:val="00EE4E27"/>
    <w:rsid w:val="00F11378"/>
    <w:rsid w:val="00F17D3A"/>
    <w:rsid w:val="00F22254"/>
    <w:rsid w:val="00F2659D"/>
    <w:rsid w:val="00F61CED"/>
    <w:rsid w:val="00F678C4"/>
    <w:rsid w:val="00F80198"/>
    <w:rsid w:val="00F810D4"/>
    <w:rsid w:val="00FD3D2D"/>
    <w:rsid w:val="00FD62D8"/>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1262C"/>
  <w15:chartTrackingRefBased/>
  <w15:docId w15:val="{397791A9-16BB-EC4C-8921-6F319112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911AE"/>
  </w:style>
  <w:style w:type="character" w:styleId="CommentReference">
    <w:name w:val="annotation reference"/>
    <w:basedOn w:val="DefaultParagraphFont"/>
    <w:uiPriority w:val="99"/>
    <w:semiHidden/>
    <w:unhideWhenUsed/>
    <w:rsid w:val="00C911AE"/>
    <w:rPr>
      <w:sz w:val="16"/>
      <w:szCs w:val="16"/>
    </w:rPr>
  </w:style>
  <w:style w:type="paragraph" w:styleId="CommentText">
    <w:name w:val="annotation text"/>
    <w:basedOn w:val="Normal"/>
    <w:link w:val="CommentTextChar"/>
    <w:uiPriority w:val="99"/>
    <w:semiHidden/>
    <w:unhideWhenUsed/>
    <w:rsid w:val="00C911AE"/>
    <w:rPr>
      <w:sz w:val="20"/>
      <w:szCs w:val="20"/>
    </w:rPr>
  </w:style>
  <w:style w:type="character" w:customStyle="1" w:styleId="CommentTextChar">
    <w:name w:val="Comment Text Char"/>
    <w:basedOn w:val="DefaultParagraphFont"/>
    <w:link w:val="CommentText"/>
    <w:uiPriority w:val="99"/>
    <w:semiHidden/>
    <w:rsid w:val="00C911AE"/>
    <w:rPr>
      <w:sz w:val="20"/>
      <w:szCs w:val="20"/>
    </w:rPr>
  </w:style>
  <w:style w:type="paragraph" w:styleId="CommentSubject">
    <w:name w:val="annotation subject"/>
    <w:basedOn w:val="CommentText"/>
    <w:next w:val="CommentText"/>
    <w:link w:val="CommentSubjectChar"/>
    <w:uiPriority w:val="99"/>
    <w:semiHidden/>
    <w:unhideWhenUsed/>
    <w:rsid w:val="00C911AE"/>
    <w:rPr>
      <w:b/>
      <w:bCs/>
    </w:rPr>
  </w:style>
  <w:style w:type="character" w:customStyle="1" w:styleId="CommentSubjectChar">
    <w:name w:val="Comment Subject Char"/>
    <w:basedOn w:val="CommentTextChar"/>
    <w:link w:val="CommentSubject"/>
    <w:uiPriority w:val="99"/>
    <w:semiHidden/>
    <w:rsid w:val="00C911AE"/>
    <w:rPr>
      <w:b/>
      <w:bCs/>
      <w:sz w:val="20"/>
      <w:szCs w:val="20"/>
    </w:rPr>
  </w:style>
  <w:style w:type="character" w:customStyle="1" w:styleId="video-url-fadeable">
    <w:name w:val="video-url-fadeable"/>
    <w:basedOn w:val="DefaultParagraphFont"/>
    <w:rsid w:val="00341A8D"/>
  </w:style>
  <w:style w:type="character" w:styleId="Hyperlink">
    <w:name w:val="Hyperlink"/>
    <w:basedOn w:val="DefaultParagraphFont"/>
    <w:uiPriority w:val="99"/>
    <w:semiHidden/>
    <w:unhideWhenUsed/>
    <w:rsid w:val="00341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383">
      <w:bodyDiv w:val="1"/>
      <w:marLeft w:val="0"/>
      <w:marRight w:val="0"/>
      <w:marTop w:val="0"/>
      <w:marBottom w:val="0"/>
      <w:divBdr>
        <w:top w:val="none" w:sz="0" w:space="0" w:color="auto"/>
        <w:left w:val="none" w:sz="0" w:space="0" w:color="auto"/>
        <w:bottom w:val="none" w:sz="0" w:space="0" w:color="auto"/>
        <w:right w:val="none" w:sz="0" w:space="0" w:color="auto"/>
      </w:divBdr>
    </w:div>
    <w:div w:id="712925027">
      <w:bodyDiv w:val="1"/>
      <w:marLeft w:val="0"/>
      <w:marRight w:val="0"/>
      <w:marTop w:val="0"/>
      <w:marBottom w:val="0"/>
      <w:divBdr>
        <w:top w:val="none" w:sz="0" w:space="0" w:color="auto"/>
        <w:left w:val="none" w:sz="0" w:space="0" w:color="auto"/>
        <w:bottom w:val="none" w:sz="0" w:space="0" w:color="auto"/>
        <w:right w:val="none" w:sz="0" w:space="0" w:color="auto"/>
      </w:divBdr>
      <w:divsChild>
        <w:div w:id="65178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NDCrt1EaO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Robert</dc:creator>
  <cp:keywords/>
  <dc:description/>
  <cp:lastModifiedBy>Jenda Johnson</cp:lastModifiedBy>
  <cp:revision>2</cp:revision>
  <dcterms:created xsi:type="dcterms:W3CDTF">2024-05-15T01:39:00Z</dcterms:created>
  <dcterms:modified xsi:type="dcterms:W3CDTF">2024-05-15T01:39:00Z</dcterms:modified>
</cp:coreProperties>
</file>