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tbl>
      <w:tblPr>
        <w:tblpPr w:leftFromText="180" w:rightFromText="180" w:vertAnchor="page" w:horzAnchor="page" w:tblpX="1630" w:tblpY="1085"/>
        <w:tblW w:w="4698" w:type="dxa"/>
        <w:tblLook w:val="0000"/>
      </w:tblPr>
      <w:tblGrid>
        <w:gridCol w:w="1728"/>
        <w:gridCol w:w="1530"/>
        <w:gridCol w:w="1440"/>
      </w:tblGrid>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rPr>
                <w:rFonts w:ascii="Arial" w:hAnsi="Arial"/>
                <w:sz w:val="20"/>
                <w:szCs w:val="20"/>
              </w:rPr>
            </w:pPr>
            <w:r w:rsidRPr="008F46B8">
              <w:rPr>
                <w:rFonts w:ascii="Arial" w:hAnsi="Arial"/>
                <w:sz w:val="20"/>
                <w:szCs w:val="20"/>
              </w:rPr>
              <w:t>Cumulative Time (Years)</w:t>
            </w:r>
          </w:p>
        </w:tc>
        <w:tc>
          <w:tcPr>
            <w:tcW w:w="1530" w:type="dxa"/>
            <w:tcBorders>
              <w:top w:val="nil"/>
              <w:left w:val="nil"/>
              <w:bottom w:val="nil"/>
              <w:right w:val="nil"/>
            </w:tcBorders>
            <w:shd w:val="clear" w:color="auto" w:fill="auto"/>
            <w:noWrap/>
            <w:vAlign w:val="bottom"/>
          </w:tcPr>
          <w:p w:rsidR="008F46B8" w:rsidRPr="008F46B8" w:rsidRDefault="008F46B8" w:rsidP="008F46B8">
            <w:pPr>
              <w:rPr>
                <w:rFonts w:ascii="Arial" w:hAnsi="Arial"/>
                <w:sz w:val="20"/>
                <w:szCs w:val="20"/>
              </w:rPr>
            </w:pPr>
            <w:r w:rsidRPr="008F46B8">
              <w:rPr>
                <w:rFonts w:ascii="Arial" w:hAnsi="Arial"/>
                <w:sz w:val="20"/>
                <w:szCs w:val="20"/>
              </w:rPr>
              <w:t>Delta Time (years)</w:t>
            </w:r>
          </w:p>
        </w:tc>
        <w:tc>
          <w:tcPr>
            <w:tcW w:w="1440" w:type="dxa"/>
            <w:tcBorders>
              <w:top w:val="nil"/>
              <w:left w:val="nil"/>
              <w:bottom w:val="nil"/>
              <w:right w:val="nil"/>
            </w:tcBorders>
            <w:shd w:val="clear" w:color="auto" w:fill="auto"/>
            <w:noWrap/>
            <w:vAlign w:val="bottom"/>
          </w:tcPr>
          <w:p w:rsidR="008F46B8" w:rsidRPr="008F46B8" w:rsidRDefault="008F46B8" w:rsidP="008F46B8">
            <w:pPr>
              <w:rPr>
                <w:rFonts w:ascii="Arial" w:hAnsi="Arial"/>
                <w:sz w:val="20"/>
                <w:szCs w:val="20"/>
              </w:rPr>
            </w:pPr>
            <w:r w:rsidRPr="008F46B8">
              <w:rPr>
                <w:rFonts w:ascii="Arial" w:hAnsi="Arial"/>
                <w:sz w:val="20"/>
                <w:szCs w:val="20"/>
              </w:rPr>
              <w:t>Slip (cm)</w:t>
            </w:r>
            <w:r>
              <w:rPr>
                <w:rFonts w:ascii="Arial" w:hAnsi="Arial"/>
                <w:sz w:val="20"/>
                <w:szCs w:val="20"/>
              </w:rPr>
              <w:t xml:space="preserve"> or Magnitude</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1.4</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6</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5</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6.9</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14</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8</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12.6</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17</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3</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3</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21</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4</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4.3</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26</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5</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6.9</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29</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3</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1.4</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30</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1.1</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32</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1.8</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34</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1.5</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36</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1.5</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39</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3</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3.6</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42</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3</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0.7</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44</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1.7</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45</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1.9</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48</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3</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4.1</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49</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1.8</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51</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52</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2.7</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53</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0.8</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57</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4</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5.3</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59</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2.1</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62</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3</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67</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5</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6</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70</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3</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4.3</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72</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1.6</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78</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6</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8</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83</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5</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7.3</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85</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2.7</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89</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4</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1.7</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90</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0.7</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91</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2.6</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93</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1.3</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109</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16</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27.8</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111</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2.8</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112</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0.7</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114</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2.6</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117</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3</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3.1</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120</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3</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2.1</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133</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13</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3.6</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137</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4</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5.1</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140</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3</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2.5</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144</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4</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3.2</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149</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5</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5.7</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154</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5</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4.4</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159</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5</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7</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161</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1.2</w:t>
            </w:r>
          </w:p>
        </w:tc>
      </w:tr>
      <w:tr w:rsidR="008F46B8" w:rsidRPr="008F46B8">
        <w:trPr>
          <w:trHeight w:val="260"/>
        </w:trPr>
        <w:tc>
          <w:tcPr>
            <w:tcW w:w="1728"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163</w:t>
            </w:r>
          </w:p>
        </w:tc>
        <w:tc>
          <w:tcPr>
            <w:tcW w:w="153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2</w:t>
            </w:r>
          </w:p>
        </w:tc>
        <w:tc>
          <w:tcPr>
            <w:tcW w:w="1440" w:type="dxa"/>
            <w:tcBorders>
              <w:top w:val="nil"/>
              <w:left w:val="nil"/>
              <w:bottom w:val="nil"/>
              <w:right w:val="nil"/>
            </w:tcBorders>
            <w:shd w:val="clear" w:color="auto" w:fill="auto"/>
            <w:noWrap/>
            <w:vAlign w:val="bottom"/>
          </w:tcPr>
          <w:p w:rsidR="008F46B8" w:rsidRPr="008F46B8" w:rsidRDefault="008F46B8" w:rsidP="008F46B8">
            <w:pPr>
              <w:jc w:val="right"/>
              <w:rPr>
                <w:rFonts w:ascii="Arial" w:hAnsi="Arial"/>
                <w:sz w:val="20"/>
                <w:szCs w:val="20"/>
              </w:rPr>
            </w:pPr>
            <w:r w:rsidRPr="008F46B8">
              <w:rPr>
                <w:rFonts w:ascii="Arial" w:hAnsi="Arial"/>
                <w:sz w:val="20"/>
                <w:szCs w:val="20"/>
              </w:rPr>
              <w:t>1.6</w:t>
            </w:r>
          </w:p>
        </w:tc>
      </w:tr>
    </w:tbl>
    <w:tbl>
      <w:tblPr>
        <w:tblStyle w:val="HeaderChar"/>
        <w:tblpPr w:leftFromText="180" w:rightFromText="180" w:vertAnchor="page" w:horzAnchor="page" w:tblpX="7570" w:tblpY="12245"/>
        <w:tblW w:w="0" w:type="auto"/>
        <w:tblLook w:val="00BF"/>
      </w:tblPr>
      <w:tblGrid>
        <w:gridCol w:w="1188"/>
        <w:gridCol w:w="882"/>
        <w:gridCol w:w="1008"/>
      </w:tblGrid>
      <w:tr w:rsidR="008F46B8" w:rsidTr="009B4B2E">
        <w:tc>
          <w:tcPr>
            <w:tcW w:w="1188" w:type="dxa"/>
          </w:tcPr>
          <w:p w:rsidR="008F46B8" w:rsidRPr="008F46B8" w:rsidRDefault="008F46B8" w:rsidP="009B4B2E">
            <w:pPr>
              <w:jc w:val="center"/>
              <w:rPr>
                <w:rFonts w:ascii="Arial" w:hAnsi="Arial"/>
              </w:rPr>
            </w:pPr>
            <w:r w:rsidRPr="008F46B8">
              <w:rPr>
                <w:rFonts w:ascii="Arial" w:hAnsi="Arial"/>
              </w:rPr>
              <w:t>Slip (cm)</w:t>
            </w:r>
          </w:p>
        </w:tc>
        <w:tc>
          <w:tcPr>
            <w:tcW w:w="882" w:type="dxa"/>
          </w:tcPr>
          <w:p w:rsidR="008F46B8" w:rsidRPr="008F46B8" w:rsidRDefault="00025506" w:rsidP="009B4B2E">
            <w:pPr>
              <w:jc w:val="center"/>
              <w:rPr>
                <w:rFonts w:ascii="Arial" w:hAnsi="Arial"/>
              </w:rPr>
            </w:pPr>
            <w:r>
              <w:rPr>
                <w:rFonts w:ascii="Arial" w:hAnsi="Arial"/>
              </w:rPr>
              <w:t>(N</w:t>
            </w:r>
            <w:r w:rsidR="008F46B8" w:rsidRPr="008F46B8">
              <w:rPr>
                <w:rFonts w:ascii="Arial" w:hAnsi="Arial"/>
              </w:rPr>
              <w:t>)</w:t>
            </w:r>
          </w:p>
        </w:tc>
        <w:tc>
          <w:tcPr>
            <w:tcW w:w="1008" w:type="dxa"/>
          </w:tcPr>
          <w:p w:rsidR="008F46B8" w:rsidRPr="008F46B8" w:rsidRDefault="008F46B8" w:rsidP="009B4B2E">
            <w:pPr>
              <w:jc w:val="center"/>
              <w:rPr>
                <w:rFonts w:ascii="Arial" w:hAnsi="Arial"/>
              </w:rPr>
            </w:pPr>
            <w:r w:rsidRPr="008F46B8">
              <w:rPr>
                <w:rFonts w:ascii="Arial" w:hAnsi="Arial"/>
              </w:rPr>
              <w:t>Log N</w:t>
            </w:r>
          </w:p>
        </w:tc>
      </w:tr>
      <w:tr w:rsidR="008F46B8" w:rsidTr="009B4B2E">
        <w:tc>
          <w:tcPr>
            <w:tcW w:w="1188" w:type="dxa"/>
          </w:tcPr>
          <w:p w:rsidR="008F46B8" w:rsidRPr="008F46B8" w:rsidRDefault="008F46B8" w:rsidP="009B4B2E">
            <w:pPr>
              <w:rPr>
                <w:rFonts w:ascii="Arial" w:hAnsi="Arial"/>
              </w:rPr>
            </w:pPr>
            <w:r w:rsidRPr="008F46B8">
              <w:rPr>
                <w:rFonts w:ascii="Arial" w:hAnsi="Arial"/>
              </w:rPr>
              <w:t>1</w:t>
            </w:r>
          </w:p>
        </w:tc>
        <w:tc>
          <w:tcPr>
            <w:tcW w:w="882" w:type="dxa"/>
          </w:tcPr>
          <w:p w:rsidR="008F46B8" w:rsidRPr="008F46B8" w:rsidRDefault="008F46B8" w:rsidP="009B4B2E">
            <w:pPr>
              <w:rPr>
                <w:rFonts w:ascii="Arial" w:hAnsi="Arial"/>
              </w:rPr>
            </w:pPr>
          </w:p>
        </w:tc>
        <w:tc>
          <w:tcPr>
            <w:tcW w:w="1008" w:type="dxa"/>
          </w:tcPr>
          <w:p w:rsidR="008F46B8" w:rsidRPr="008F46B8" w:rsidRDefault="008F46B8" w:rsidP="009B4B2E">
            <w:pPr>
              <w:rPr>
                <w:rFonts w:ascii="Arial" w:hAnsi="Arial"/>
              </w:rPr>
            </w:pPr>
          </w:p>
        </w:tc>
      </w:tr>
      <w:tr w:rsidR="008F46B8" w:rsidTr="009B4B2E">
        <w:tc>
          <w:tcPr>
            <w:tcW w:w="1188" w:type="dxa"/>
          </w:tcPr>
          <w:p w:rsidR="008F46B8" w:rsidRPr="008F46B8" w:rsidRDefault="008F46B8" w:rsidP="009B4B2E">
            <w:pPr>
              <w:rPr>
                <w:rFonts w:ascii="Arial" w:hAnsi="Arial"/>
              </w:rPr>
            </w:pPr>
            <w:r w:rsidRPr="008F46B8">
              <w:rPr>
                <w:rFonts w:ascii="Arial" w:hAnsi="Arial"/>
              </w:rPr>
              <w:t>3</w:t>
            </w:r>
          </w:p>
        </w:tc>
        <w:tc>
          <w:tcPr>
            <w:tcW w:w="882" w:type="dxa"/>
          </w:tcPr>
          <w:p w:rsidR="008F46B8" w:rsidRPr="008F46B8" w:rsidRDefault="008F46B8" w:rsidP="009B4B2E">
            <w:pPr>
              <w:rPr>
                <w:rFonts w:ascii="Arial" w:hAnsi="Arial"/>
              </w:rPr>
            </w:pPr>
          </w:p>
        </w:tc>
        <w:tc>
          <w:tcPr>
            <w:tcW w:w="1008" w:type="dxa"/>
          </w:tcPr>
          <w:p w:rsidR="008F46B8" w:rsidRPr="008F46B8" w:rsidRDefault="008F46B8" w:rsidP="009B4B2E">
            <w:pPr>
              <w:rPr>
                <w:rFonts w:ascii="Arial" w:hAnsi="Arial"/>
              </w:rPr>
            </w:pPr>
          </w:p>
        </w:tc>
      </w:tr>
      <w:tr w:rsidR="008F46B8" w:rsidTr="009B4B2E">
        <w:tc>
          <w:tcPr>
            <w:tcW w:w="1188" w:type="dxa"/>
          </w:tcPr>
          <w:p w:rsidR="008F46B8" w:rsidRPr="008F46B8" w:rsidRDefault="008F46B8" w:rsidP="009B4B2E">
            <w:pPr>
              <w:rPr>
                <w:rFonts w:ascii="Arial" w:hAnsi="Arial"/>
              </w:rPr>
            </w:pPr>
            <w:r w:rsidRPr="008F46B8">
              <w:rPr>
                <w:rFonts w:ascii="Arial" w:hAnsi="Arial"/>
              </w:rPr>
              <w:t>5</w:t>
            </w:r>
          </w:p>
        </w:tc>
        <w:tc>
          <w:tcPr>
            <w:tcW w:w="882" w:type="dxa"/>
          </w:tcPr>
          <w:p w:rsidR="008F46B8" w:rsidRPr="008F46B8" w:rsidRDefault="008F46B8" w:rsidP="009B4B2E">
            <w:pPr>
              <w:rPr>
                <w:rFonts w:ascii="Arial" w:hAnsi="Arial"/>
              </w:rPr>
            </w:pPr>
          </w:p>
        </w:tc>
        <w:tc>
          <w:tcPr>
            <w:tcW w:w="1008" w:type="dxa"/>
          </w:tcPr>
          <w:p w:rsidR="008F46B8" w:rsidRPr="008F46B8" w:rsidRDefault="008F46B8" w:rsidP="009B4B2E">
            <w:pPr>
              <w:rPr>
                <w:rFonts w:ascii="Arial" w:hAnsi="Arial"/>
              </w:rPr>
            </w:pPr>
          </w:p>
        </w:tc>
      </w:tr>
      <w:tr w:rsidR="008F46B8" w:rsidTr="009B4B2E">
        <w:tc>
          <w:tcPr>
            <w:tcW w:w="1188" w:type="dxa"/>
          </w:tcPr>
          <w:p w:rsidR="008F46B8" w:rsidRPr="008F46B8" w:rsidRDefault="008F46B8" w:rsidP="009B4B2E">
            <w:pPr>
              <w:rPr>
                <w:rFonts w:ascii="Arial" w:hAnsi="Arial"/>
              </w:rPr>
            </w:pPr>
            <w:r w:rsidRPr="008F46B8">
              <w:rPr>
                <w:rFonts w:ascii="Arial" w:hAnsi="Arial"/>
              </w:rPr>
              <w:t>7</w:t>
            </w:r>
          </w:p>
        </w:tc>
        <w:tc>
          <w:tcPr>
            <w:tcW w:w="882" w:type="dxa"/>
          </w:tcPr>
          <w:p w:rsidR="008F46B8" w:rsidRPr="008F46B8" w:rsidRDefault="008F46B8" w:rsidP="009B4B2E">
            <w:pPr>
              <w:rPr>
                <w:rFonts w:ascii="Arial" w:hAnsi="Arial"/>
              </w:rPr>
            </w:pPr>
          </w:p>
        </w:tc>
        <w:tc>
          <w:tcPr>
            <w:tcW w:w="1008" w:type="dxa"/>
          </w:tcPr>
          <w:p w:rsidR="008F46B8" w:rsidRPr="008F46B8" w:rsidRDefault="008F46B8" w:rsidP="009B4B2E">
            <w:pPr>
              <w:rPr>
                <w:rFonts w:ascii="Arial" w:hAnsi="Arial"/>
              </w:rPr>
            </w:pPr>
          </w:p>
        </w:tc>
      </w:tr>
      <w:tr w:rsidR="008F46B8" w:rsidTr="009B4B2E">
        <w:tc>
          <w:tcPr>
            <w:tcW w:w="1188" w:type="dxa"/>
          </w:tcPr>
          <w:p w:rsidR="008F46B8" w:rsidRPr="008F46B8" w:rsidRDefault="008F46B8" w:rsidP="009B4B2E">
            <w:pPr>
              <w:rPr>
                <w:rFonts w:ascii="Arial" w:hAnsi="Arial"/>
              </w:rPr>
            </w:pPr>
            <w:r w:rsidRPr="008F46B8">
              <w:rPr>
                <w:rFonts w:ascii="Arial" w:hAnsi="Arial"/>
              </w:rPr>
              <w:t>9</w:t>
            </w:r>
          </w:p>
        </w:tc>
        <w:tc>
          <w:tcPr>
            <w:tcW w:w="882" w:type="dxa"/>
          </w:tcPr>
          <w:p w:rsidR="008F46B8" w:rsidRPr="008F46B8" w:rsidRDefault="008F46B8" w:rsidP="009B4B2E">
            <w:pPr>
              <w:rPr>
                <w:rFonts w:ascii="Arial" w:hAnsi="Arial"/>
              </w:rPr>
            </w:pPr>
          </w:p>
        </w:tc>
        <w:tc>
          <w:tcPr>
            <w:tcW w:w="1008" w:type="dxa"/>
          </w:tcPr>
          <w:p w:rsidR="008F46B8" w:rsidRPr="008F46B8" w:rsidRDefault="008F46B8" w:rsidP="009B4B2E">
            <w:pPr>
              <w:rPr>
                <w:rFonts w:ascii="Arial" w:hAnsi="Arial"/>
              </w:rPr>
            </w:pPr>
          </w:p>
        </w:tc>
      </w:tr>
    </w:tbl>
    <w:p w:rsidR="008F46B8" w:rsidRDefault="00025506">
      <w:r>
        <w:rPr>
          <w:noProof/>
        </w:rPr>
        <w:pict>
          <v:shapetype id="_x0000_t202" coordsize="21600,21600" o:spt="202" path="m0,0l0,21600,21600,21600,21600,0xe">
            <v:stroke joinstyle="miter"/>
            <v:path gradientshapeok="t" o:connecttype="rect"/>
          </v:shapetype>
          <v:shape id="_x0000_s1029" type="#_x0000_t202" style="position:absolute;margin-left:7.35pt;margin-top:288.2pt;width:252pt;height:252pt;z-index:251661312;mso-wrap-edited:f;mso-position-horizontal:absolute;mso-position-horizontal-relative:text;mso-position-vertical:absolute;mso-position-vertical-relative:text" wrapcoords="0 0 21600 0 21600 21600 0 21600 0 0" filled="f" stroked="f">
            <v:fill o:detectmouseclick="t"/>
            <v:textbox inset=",7.2pt,,7.2pt">
              <w:txbxContent>
                <w:p w:rsidR="00025506" w:rsidRPr="009B4B2E" w:rsidRDefault="00025506" w:rsidP="00025506">
                  <w:pPr>
                    <w:jc w:val="center"/>
                    <w:rPr>
                      <w:rFonts w:ascii="Arial" w:hAnsi="Arial"/>
                      <w:b/>
                    </w:rPr>
                  </w:pPr>
                  <w:r w:rsidRPr="00025506">
                    <w:rPr>
                      <w:rFonts w:ascii="Arial" w:hAnsi="Arial"/>
                      <w:b/>
                    </w:rPr>
                    <w:t xml:space="preserve">Examining the Frequency-Magnitude </w:t>
                  </w:r>
                  <w:r w:rsidRPr="009B4B2E">
                    <w:rPr>
                      <w:rFonts w:ascii="Arial" w:hAnsi="Arial"/>
                      <w:b/>
                    </w:rPr>
                    <w:t>Relationship</w:t>
                  </w:r>
                </w:p>
                <w:p w:rsidR="00025506" w:rsidRPr="009B4B2E" w:rsidRDefault="00025506">
                  <w:pPr>
                    <w:rPr>
                      <w:rFonts w:ascii="Arial" w:hAnsi="Arial"/>
                    </w:rPr>
                  </w:pPr>
                </w:p>
                <w:p w:rsidR="009B4B2E" w:rsidRPr="009B4B2E" w:rsidRDefault="009B4B2E" w:rsidP="00025506">
                  <w:pPr>
                    <w:jc w:val="center"/>
                    <w:rPr>
                      <w:rFonts w:ascii="Arial" w:eastAsiaTheme="minorEastAsia" w:hAnsi="Arial"/>
                      <w:szCs w:val="32"/>
                    </w:rPr>
                  </w:pPr>
                  <w:r w:rsidRPr="009B4B2E">
                    <w:rPr>
                      <w:rFonts w:ascii="Arial" w:eastAsiaTheme="minorEastAsia" w:hAnsi="Arial"/>
                      <w:szCs w:val="32"/>
                    </w:rPr>
                    <w:t xml:space="preserve">The Gutenberg-Richter relationship describes the relationship between the average reoccurrence rate of earthquake equal to or greater than a given magnitude. </w:t>
                  </w:r>
                </w:p>
                <w:p w:rsidR="009B4B2E" w:rsidRPr="009B4B2E" w:rsidRDefault="009B4B2E" w:rsidP="00025506">
                  <w:pPr>
                    <w:jc w:val="center"/>
                    <w:rPr>
                      <w:oMath/>
                      <w:rFonts w:ascii="Arial" w:hAnsi="Arial" w:cs="STIXGeneral"/>
                      <w:szCs w:val="32"/>
                    </w:rPr>
                  </w:pPr>
                </w:p>
                <w:p w:rsidR="00025506" w:rsidRPr="009B4B2E" w:rsidRDefault="00025506" w:rsidP="00025506">
                  <w:pPr>
                    <w:jc w:val="center"/>
                    <w:rPr>
                      <w:oMath/>
                      <w:rFonts w:ascii="Arial" w:hAnsi="Arial" w:cs="STIXGeneral"/>
                      <w:sz w:val="32"/>
                      <w:szCs w:val="32"/>
                    </w:rPr>
                  </w:pPr>
                  <w:proofErr w:type="spellStart"/>
                  𝑙𝑜𝑔
                  <w:proofErr w:type="spellEnd"/>
                  10 Ν=
                  <w:proofErr w:type="spellStart"/>
                  𝑎−𝑏𝑀
                  <w:proofErr w:type="spellEnd"/>
                </w:p>
                <w:p w:rsidR="00025506" w:rsidRDefault="00025506" w:rsidP="00025506">
                  <w:pPr>
                    <w:jc w:val="center"/>
                  </w:pPr>
                  <w:r w:rsidRPr="009B4B2E">
                    <w:rPr>
                      <w:rFonts w:ascii="Arial" w:hAnsi="Arial" w:cs="Arial"/>
                      <w:b/>
                    </w:rPr>
                    <w:t>N</w:t>
                  </w:r>
                  <w:r w:rsidRPr="009B4B2E">
                    <w:rPr>
                      <w:rFonts w:ascii="Arial" w:hAnsi="Arial" w:cs="Arial"/>
                    </w:rPr>
                    <w:t xml:space="preserve"> is the number of earthquakes having a magnitude ≥ magnitude </w:t>
                  </w:r>
                  <w:r w:rsidRPr="009B4B2E">
                    <w:rPr>
                      <w:rFonts w:ascii="Arial" w:hAnsi="Arial" w:cs="Arial"/>
                      <w:b/>
                    </w:rPr>
                    <w:t xml:space="preserve">M. </w:t>
                  </w:r>
                  <w:r w:rsidRPr="009B4B2E">
                    <w:rPr>
                      <w:rFonts w:ascii="Arial" w:hAnsi="Arial" w:cs="Arial"/>
                    </w:rPr>
                    <w:t xml:space="preserve">Constants </w:t>
                  </w:r>
                  <w:proofErr w:type="gramStart"/>
                  <w:r w:rsidRPr="009B4B2E">
                    <w:rPr>
                      <w:rFonts w:ascii="Arial" w:hAnsi="Arial" w:cs="Arial"/>
                      <w:b/>
                    </w:rPr>
                    <w:t>a</w:t>
                  </w:r>
                  <w:r w:rsidRPr="009B4B2E">
                    <w:rPr>
                      <w:rFonts w:ascii="Arial" w:hAnsi="Arial" w:cs="Arial"/>
                    </w:rPr>
                    <w:t xml:space="preserve"> and</w:t>
                  </w:r>
                  <w:proofErr w:type="gramEnd"/>
                  <w:r w:rsidRPr="009B4B2E">
                    <w:rPr>
                      <w:rFonts w:ascii="Arial" w:hAnsi="Arial" w:cs="Arial"/>
                      <w:b/>
                    </w:rPr>
                    <w:t xml:space="preserve"> b</w:t>
                  </w:r>
                  <w:r w:rsidRPr="009B4B2E">
                    <w:rPr>
                      <w:rFonts w:ascii="Arial" w:hAnsi="Arial" w:cs="Arial"/>
                    </w:rPr>
                    <w:t xml:space="preserve"> are constants related to the stresses experienced by a body of rock. Constant </w:t>
                  </w:r>
                  <w:proofErr w:type="gramStart"/>
                  <w:r w:rsidRPr="009B4B2E">
                    <w:rPr>
                      <w:rFonts w:ascii="Arial" w:hAnsi="Arial" w:cs="Arial"/>
                      <w:b/>
                    </w:rPr>
                    <w:t>a</w:t>
                  </w:r>
                  <w:r w:rsidRPr="009B4B2E">
                    <w:rPr>
                      <w:rFonts w:ascii="Arial" w:hAnsi="Arial" w:cs="Arial"/>
                      <w:szCs w:val="26"/>
                    </w:rPr>
                    <w:t xml:space="preserve"> </w:t>
                  </w:r>
                  <w:r w:rsidR="009B4B2E">
                    <w:rPr>
                      <w:rFonts w:ascii="Arial" w:hAnsi="Arial" w:cs="Arial"/>
                      <w:szCs w:val="26"/>
                    </w:rPr>
                    <w:t>i</w:t>
                  </w:r>
                  <w:r w:rsidRPr="008C4896">
                    <w:rPr>
                      <w:rFonts w:ascii="Arial" w:hAnsi="Arial" w:cs="Arial"/>
                      <w:szCs w:val="26"/>
                    </w:rPr>
                    <w:t>ndicates</w:t>
                  </w:r>
                  <w:proofErr w:type="gramEnd"/>
                  <w:r w:rsidRPr="008C4896">
                    <w:rPr>
                      <w:rFonts w:ascii="Arial" w:hAnsi="Arial" w:cs="Arial"/>
                      <w:szCs w:val="26"/>
                    </w:rPr>
                    <w:t xml:space="preserve"> the total seismicity rate of the region</w:t>
                  </w:r>
                  <w:r>
                    <w:rPr>
                      <w:rFonts w:ascii="Arial" w:hAnsi="Arial" w:cs="Arial"/>
                      <w:szCs w:val="26"/>
                    </w:rPr>
                    <w:t xml:space="preserve"> and </w:t>
                  </w:r>
                  <w:r>
                    <w:rPr>
                      <w:rFonts w:ascii="Arial" w:hAnsi="Arial" w:cs="Arial"/>
                    </w:rPr>
                    <w:t>c</w:t>
                  </w:r>
                  <w:r w:rsidRPr="008C4896">
                    <w:rPr>
                      <w:rFonts w:ascii="Arial" w:hAnsi="Arial" w:cs="Arial"/>
                    </w:rPr>
                    <w:t xml:space="preserve">onstant </w:t>
                  </w:r>
                  <w:r w:rsidRPr="008C4896">
                    <w:rPr>
                      <w:rFonts w:ascii="Arial" w:hAnsi="Arial" w:cs="Arial"/>
                      <w:b/>
                    </w:rPr>
                    <w:t>b</w:t>
                  </w:r>
                  <w:r w:rsidRPr="008C4896">
                    <w:rPr>
                      <w:rFonts w:ascii="Arial" w:hAnsi="Arial" w:cs="Arial"/>
                    </w:rPr>
                    <w:t xml:space="preserve"> is </w:t>
                  </w:r>
                  <w:r>
                    <w:rPr>
                      <w:rFonts w:ascii="Arial" w:hAnsi="Arial" w:cs="Arial"/>
                    </w:rPr>
                    <w:t>generally calculated (and usually ~1).</w:t>
                  </w:r>
                </w:p>
              </w:txbxContent>
            </v:textbox>
            <w10:wrap type="tight"/>
          </v:shape>
        </w:pict>
      </w:r>
      <w:r w:rsidR="008F46B8">
        <w:rPr>
          <w:noProof/>
        </w:rPr>
        <w:pict>
          <v:roundrect id="_x0000_s1028" style="position:absolute;margin-left:7.35pt;margin-top:-35.8pt;width:252pt;height:270pt;z-index:251660288;mso-wrap-edited:f;mso-position-horizontal-relative:text;mso-position-vertical-relative:text" arcsize="10923f" wrapcoords="3021 0 2507 60 1028 720 964 960 257 1800 -64 2880 -64 18240 0 19200 514 20160 1414 21060 1607 21180 2571 21540 2700 21540 18900 21540 19028 21540 19992 21180 20185 21060 21085 20160 21600 19200 21664 18240 21664 2880 21342 1800 20635 960 20571 720 19092 60 18578 0 3021 0" filled="f" fillcolor="#3f80cd" strokecolor="black [3213]">
            <v:fill color2="#9bc1ff" o:detectmouseclick="t" focusposition="" focussize=",90" type="gradient">
              <o:fill v:ext="view" type="gradientUnscaled"/>
            </v:fill>
            <v:shadow opacity="22938f" mv:blur="38100f" offset="0,2pt"/>
            <v:textbox inset=",7.2pt,,7.2pt"/>
            <w10:wrap type="tight"/>
          </v:roundrect>
        </w:pict>
      </w:r>
      <w:r w:rsidR="008F46B8">
        <w:rPr>
          <w:noProof/>
        </w:rPr>
        <w:pict>
          <v:shape id="_x0000_s1026" type="#_x0000_t202" style="position:absolute;margin-left:25.35pt;margin-top:-35.8pt;width:3in;height:270pt;z-index:251658240;mso-wrap-edited:f;mso-position-horizontal:absolute;mso-position-horizontal-relative:text;mso-position-vertical:absolute;mso-position-vertical-relative:text" wrapcoords="0 0 21600 0 21600 21600 0 21600 0 0" filled="f" stroked="f">
            <v:fill o:detectmouseclick="t"/>
            <v:textbox inset=",7.2pt,,7.2pt">
              <w:txbxContent>
                <w:p w:rsidR="00025506" w:rsidRPr="008F46B8" w:rsidRDefault="00025506" w:rsidP="008F46B8">
                  <w:pPr>
                    <w:jc w:val="center"/>
                    <w:rPr>
                      <w:rFonts w:ascii="Arial" w:hAnsi="Arial"/>
                      <w:b/>
                      <w:sz w:val="28"/>
                    </w:rPr>
                  </w:pPr>
                  <w:r w:rsidRPr="008F46B8">
                    <w:rPr>
                      <w:rFonts w:ascii="Arial" w:hAnsi="Arial"/>
                      <w:b/>
                      <w:sz w:val="28"/>
                    </w:rPr>
                    <w:t>The Earthquake Machine</w:t>
                  </w:r>
                </w:p>
                <w:p w:rsidR="00025506" w:rsidRDefault="00025506" w:rsidP="008F46B8">
                  <w:pPr>
                    <w:jc w:val="center"/>
                    <w:rPr>
                      <w:b/>
                    </w:rPr>
                  </w:pPr>
                </w:p>
                <w:p w:rsidR="00025506" w:rsidRDefault="00025506" w:rsidP="008F46B8">
                  <w:pPr>
                    <w:jc w:val="center"/>
                    <w:rPr>
                      <w:b/>
                    </w:rPr>
                  </w:pPr>
                  <w:r>
                    <w:rPr>
                      <w:rFonts w:ascii="Arial" w:hAnsi="Arial"/>
                      <w:i/>
                      <w:noProof/>
                      <w:sz w:val="22"/>
                    </w:rPr>
                    <w:drawing>
                      <wp:inline distT="0" distB="0" distL="0" distR="0">
                        <wp:extent cx="2560320" cy="1703580"/>
                        <wp:effectExtent l="25400" t="0" r="5080" b="0"/>
                        <wp:docPr id="4" name="Picture 1" descr="EQMachine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MachineLite"/>
                                <pic:cNvPicPr>
                                  <a:picLocks noChangeAspect="1" noChangeArrowheads="1"/>
                                </pic:cNvPicPr>
                              </pic:nvPicPr>
                              <pic:blipFill>
                                <a:blip r:embed="rId4"/>
                                <a:srcRect/>
                                <a:stretch>
                                  <a:fillRect/>
                                </a:stretch>
                              </pic:blipFill>
                              <pic:spPr bwMode="auto">
                                <a:xfrm>
                                  <a:off x="0" y="0"/>
                                  <a:ext cx="2560320" cy="1703580"/>
                                </a:xfrm>
                                <a:prstGeom prst="rect">
                                  <a:avLst/>
                                </a:prstGeom>
                                <a:noFill/>
                                <a:ln w="9525">
                                  <a:noFill/>
                                  <a:miter lim="800000"/>
                                  <a:headEnd/>
                                  <a:tailEnd/>
                                </a:ln>
                              </pic:spPr>
                            </pic:pic>
                          </a:graphicData>
                        </a:graphic>
                      </wp:inline>
                    </w:drawing>
                  </w:r>
                </w:p>
                <w:p w:rsidR="00025506" w:rsidRDefault="00025506" w:rsidP="008F46B8">
                  <w:pPr>
                    <w:jc w:val="center"/>
                    <w:rPr>
                      <w:b/>
                    </w:rPr>
                  </w:pPr>
                </w:p>
                <w:p w:rsidR="00025506" w:rsidRPr="00087597" w:rsidRDefault="00025506" w:rsidP="008F46B8">
                  <w:pPr>
                    <w:rPr>
                      <w:rFonts w:ascii="Arial" w:hAnsi="Arial"/>
                      <w:sz w:val="22"/>
                    </w:rPr>
                  </w:pPr>
                  <w:r w:rsidRPr="00087597">
                    <w:rPr>
                      <w:rFonts w:ascii="Arial" w:hAnsi="Arial"/>
                      <w:sz w:val="22"/>
                      <w:u w:val="single"/>
                    </w:rPr>
                    <w:t>Seismic Moment (M</w:t>
                  </w:r>
                  <w:r w:rsidRPr="00087597">
                    <w:rPr>
                      <w:rFonts w:ascii="Arial" w:hAnsi="Arial"/>
                      <w:sz w:val="22"/>
                      <w:u w:val="single"/>
                      <w:vertAlign w:val="subscript"/>
                    </w:rPr>
                    <w:t>o</w:t>
                  </w:r>
                  <w:r w:rsidRPr="00087597">
                    <w:rPr>
                      <w:rFonts w:ascii="Arial" w:hAnsi="Arial"/>
                      <w:sz w:val="22"/>
                      <w:u w:val="single"/>
                    </w:rPr>
                    <w:t>)</w:t>
                  </w:r>
                  <w:r w:rsidRPr="00087597">
                    <w:rPr>
                      <w:rFonts w:ascii="Arial" w:hAnsi="Arial"/>
                      <w:sz w:val="22"/>
                    </w:rPr>
                    <w:t xml:space="preserve"> = </w:t>
                  </w:r>
                  <w:r>
                    <w:rPr>
                      <w:rFonts w:ascii="Arial" w:hAnsi="Arial"/>
                      <w:sz w:val="22"/>
                    </w:rPr>
                    <w:t>A</w:t>
                  </w:r>
                  <w:r w:rsidRPr="00087597">
                    <w:rPr>
                      <w:rFonts w:ascii="Arial" w:hAnsi="Arial"/>
                      <w:sz w:val="22"/>
                    </w:rPr>
                    <w:t xml:space="preserve"> x D x </w:t>
                  </w:r>
                  <w:r w:rsidRPr="00087597">
                    <w:rPr>
                      <w:rFonts w:ascii="Arial" w:hAnsi="Arial"/>
                      <w:sz w:val="22"/>
                    </w:rPr>
                    <w:sym w:font="Symbol" w:char="F06D"/>
                  </w:r>
                  <w:proofErr w:type="gramStart"/>
                  <w:r w:rsidRPr="00087597">
                    <w:rPr>
                      <w:rFonts w:ascii="Arial" w:hAnsi="Arial"/>
                      <w:sz w:val="22"/>
                    </w:rPr>
                    <w:t xml:space="preserve">   or</w:t>
                  </w:r>
                  <w:proofErr w:type="gramEnd"/>
                  <w:r w:rsidRPr="00087597">
                    <w:rPr>
                      <w:rFonts w:ascii="Arial" w:hAnsi="Arial"/>
                      <w:sz w:val="22"/>
                    </w:rPr>
                    <w:t xml:space="preserve">   </w:t>
                  </w:r>
                  <w:r>
                    <w:rPr>
                      <w:rFonts w:ascii="Arial" w:hAnsi="Arial"/>
                      <w:sz w:val="22"/>
                    </w:rPr>
                    <w:t>Area</w:t>
                  </w:r>
                  <w:r w:rsidRPr="00087597">
                    <w:rPr>
                      <w:rFonts w:ascii="Arial" w:hAnsi="Arial"/>
                      <w:sz w:val="22"/>
                    </w:rPr>
                    <w:t xml:space="preserve"> x Displacement (Slip) x Rigidity</w:t>
                  </w:r>
                </w:p>
                <w:p w:rsidR="00025506" w:rsidRPr="00087597" w:rsidRDefault="00025506" w:rsidP="008F46B8">
                  <w:pPr>
                    <w:pStyle w:val="Header"/>
                    <w:tabs>
                      <w:tab w:val="clear" w:pos="4320"/>
                      <w:tab w:val="clear" w:pos="8640"/>
                    </w:tabs>
                    <w:rPr>
                      <w:rFonts w:ascii="Arial" w:hAnsi="Arial"/>
                      <w:sz w:val="22"/>
                    </w:rPr>
                  </w:pPr>
                </w:p>
                <w:p w:rsidR="00025506" w:rsidRPr="00087597" w:rsidRDefault="00025506" w:rsidP="008F46B8">
                  <w:pPr>
                    <w:rPr>
                      <w:rFonts w:ascii="Arial" w:hAnsi="Arial"/>
                      <w:sz w:val="22"/>
                    </w:rPr>
                  </w:pPr>
                  <w:r w:rsidRPr="00087597">
                    <w:rPr>
                      <w:rFonts w:ascii="Arial" w:hAnsi="Arial"/>
                      <w:sz w:val="22"/>
                      <w:u w:val="single"/>
                    </w:rPr>
                    <w:t>Moment Magnitude (M</w:t>
                  </w:r>
                  <w:r w:rsidRPr="00087597">
                    <w:rPr>
                      <w:rFonts w:ascii="Arial" w:hAnsi="Arial"/>
                      <w:sz w:val="22"/>
                      <w:u w:val="single"/>
                      <w:vertAlign w:val="subscript"/>
                    </w:rPr>
                    <w:t>w</w:t>
                  </w:r>
                  <w:r w:rsidRPr="00087597">
                    <w:rPr>
                      <w:rFonts w:ascii="Arial" w:hAnsi="Arial"/>
                      <w:sz w:val="22"/>
                      <w:u w:val="single"/>
                    </w:rPr>
                    <w:t>)</w:t>
                  </w:r>
                  <w:r w:rsidRPr="00087597">
                    <w:rPr>
                      <w:rFonts w:ascii="Arial" w:hAnsi="Arial"/>
                      <w:sz w:val="22"/>
                    </w:rPr>
                    <w:t xml:space="preserve"> </w:t>
                  </w:r>
                  <w:r w:rsidRPr="00087597">
                    <w:rPr>
                      <w:rFonts w:ascii="Arial" w:eastAsia="Times New Roman" w:hAnsi="Arial"/>
                      <w:sz w:val="22"/>
                    </w:rPr>
                    <w:t xml:space="preserve">= </w:t>
                  </w:r>
                  <w:r>
                    <w:rPr>
                      <w:rFonts w:ascii="Arial" w:eastAsia="Times New Roman" w:hAnsi="Arial"/>
                      <w:sz w:val="22"/>
                    </w:rPr>
                    <w:t>2/3</w:t>
                  </w:r>
                  <w:r w:rsidRPr="00087597">
                    <w:rPr>
                      <w:rFonts w:ascii="Arial" w:eastAsia="Times New Roman" w:hAnsi="Arial"/>
                      <w:i/>
                      <w:sz w:val="22"/>
                    </w:rPr>
                    <w:t>log</w:t>
                  </w:r>
                  <w:r w:rsidRPr="00087597">
                    <w:rPr>
                      <w:rFonts w:ascii="Arial" w:eastAsia="Times New Roman" w:hAnsi="Arial"/>
                      <w:sz w:val="22"/>
                    </w:rPr>
                    <w:t xml:space="preserve"> M</w:t>
                  </w:r>
                  <w:r w:rsidRPr="00087597">
                    <w:rPr>
                      <w:rFonts w:ascii="Arial" w:eastAsia="Times New Roman" w:hAnsi="Arial"/>
                      <w:sz w:val="22"/>
                      <w:vertAlign w:val="subscript"/>
                    </w:rPr>
                    <w:t>o</w:t>
                  </w:r>
                  <w:r>
                    <w:rPr>
                      <w:rFonts w:ascii="Arial" w:eastAsia="Times New Roman" w:hAnsi="Arial"/>
                      <w:sz w:val="22"/>
                      <w:vertAlign w:val="subscript"/>
                    </w:rPr>
                    <w:t xml:space="preserve"> </w:t>
                  </w:r>
                  <w:r w:rsidRPr="00087597">
                    <w:rPr>
                      <w:rFonts w:ascii="Arial" w:eastAsia="Times New Roman" w:hAnsi="Arial"/>
                      <w:sz w:val="22"/>
                    </w:rPr>
                    <w:t>– 10.7</w:t>
                  </w:r>
                </w:p>
                <w:p w:rsidR="00025506" w:rsidRPr="008F46B8" w:rsidRDefault="00025506" w:rsidP="008F46B8">
                  <w:pPr>
                    <w:jc w:val="center"/>
                    <w:rPr>
                      <w:b/>
                    </w:rPr>
                  </w:pPr>
                </w:p>
              </w:txbxContent>
            </v:textbox>
            <w10:wrap type="tight"/>
          </v:shape>
        </w:pict>
      </w:r>
    </w:p>
    <w:sectPr w:rsidR="008F46B8" w:rsidSect="008F46B8">
      <w:pgSz w:w="12240" w:h="15840"/>
      <w:pgMar w:top="1440" w:right="1440" w:bottom="1440" w:left="1440" w:header="0" w:footer="0" w:gutter="144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TIXGeneral">
    <w:panose1 w:val="00000000000000000000"/>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8F46B8"/>
    <w:rsid w:val="00025506"/>
    <w:rsid w:val="006447B1"/>
    <w:rsid w:val="008F46B8"/>
    <w:rsid w:val="009B4B2E"/>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strokecolor="none [3213]"/>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94A"/>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8F46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8F46B8"/>
    <w:pPr>
      <w:tabs>
        <w:tab w:val="center" w:pos="4320"/>
        <w:tab w:val="right" w:pos="8640"/>
      </w:tabs>
    </w:pPr>
    <w:rPr>
      <w:rFonts w:ascii="Times" w:eastAsia="Times" w:hAnsi="Times" w:cs="Times New Roman"/>
      <w:szCs w:val="20"/>
      <w:lang/>
    </w:rPr>
  </w:style>
  <w:style w:type="character" w:customStyle="1" w:styleId="HeaderChar">
    <w:name w:val="Header Char"/>
    <w:basedOn w:val="DefaultParagraphFont"/>
    <w:link w:val="Header"/>
    <w:rsid w:val="008F46B8"/>
    <w:rPr>
      <w:rFonts w:ascii="Times" w:eastAsia="Times" w:hAnsi="Times" w:cs="Times New Roman"/>
      <w:sz w:val="24"/>
      <w:lang/>
    </w:rPr>
  </w:style>
</w:styles>
</file>

<file path=word/webSettings.xml><?xml version="1.0" encoding="utf-8"?>
<w:webSettings xmlns:r="http://schemas.openxmlformats.org/officeDocument/2006/relationships" xmlns:w="http://schemas.openxmlformats.org/wordprocessingml/2006/main">
  <w:divs>
    <w:div w:id="14915548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1</Lines>
  <Paragraphs>1</Paragraphs>
  <ScaleCrop>false</ScaleCrop>
  <Company>IRIS Consortium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Hubenthal</dc:creator>
  <cp:keywords/>
  <cp:lastModifiedBy>Michael Hubenthal</cp:lastModifiedBy>
  <cp:revision>2</cp:revision>
  <dcterms:created xsi:type="dcterms:W3CDTF">2014-05-15T00:58:00Z</dcterms:created>
  <dcterms:modified xsi:type="dcterms:W3CDTF">2014-05-15T01:37:00Z</dcterms:modified>
</cp:coreProperties>
</file>